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3A" w:rsidRPr="00B5363B" w:rsidRDefault="00DB253A" w:rsidP="00B5363B">
      <w:pPr>
        <w:jc w:val="center"/>
        <w:rPr>
          <w:rFonts w:ascii="Arial" w:eastAsia="Times New Roman" w:hAnsi="Arial" w:cs="Times New Roman"/>
          <w:b/>
          <w:color w:val="00847D"/>
          <w:sz w:val="32"/>
          <w:szCs w:val="28"/>
          <w:lang w:val="en-US"/>
        </w:rPr>
      </w:pPr>
    </w:p>
    <w:p w:rsidR="00B5363B" w:rsidRDefault="009D2F27" w:rsidP="009D2F27">
      <w:pPr>
        <w:jc w:val="center"/>
        <w:rPr>
          <w:rFonts w:ascii="Arial" w:eastAsia="Times New Roman" w:hAnsi="Arial" w:cs="Times New Roman"/>
          <w:b/>
          <w:color w:val="00847D"/>
          <w:sz w:val="32"/>
          <w:szCs w:val="28"/>
        </w:rPr>
      </w:pPr>
      <w:r>
        <w:rPr>
          <w:rFonts w:ascii="Arial" w:eastAsia="Times New Roman" w:hAnsi="Arial" w:cs="Times New Roman"/>
          <w:b/>
          <w:color w:val="00847D"/>
          <w:sz w:val="32"/>
          <w:szCs w:val="28"/>
        </w:rPr>
        <w:t>Leviers et exemples d’actions pour développer l’économie circulaire dans les territoires</w:t>
      </w:r>
    </w:p>
    <w:p w:rsidR="009D2F27" w:rsidRDefault="009D2F27" w:rsidP="009D2F27">
      <w:pPr>
        <w:jc w:val="center"/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9D2F27" w:rsidRPr="009D2F27" w:rsidRDefault="009D2F27" w:rsidP="009D2F27">
      <w:pPr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</w:pPr>
      <w:r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  <w:t xml:space="preserve">1/ </w:t>
      </w:r>
      <w:r w:rsidRPr="009D2F27"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  <w:t>Leviers pour les collectivités permettant d’accélérer l’économie circulaire sur leur territoire</w:t>
      </w:r>
    </w:p>
    <w:p w:rsidR="009D2F27" w:rsidRPr="009D2F27" w:rsidRDefault="009D2F27" w:rsidP="009D2F27">
      <w:pPr>
        <w:rPr>
          <w:i/>
        </w:rPr>
      </w:pPr>
      <w:r w:rsidRPr="009D2F27">
        <w:rPr>
          <w:rFonts w:ascii="Calibri" w:hAnsi="Calibri" w:cs="Calibri"/>
          <w:i/>
          <w:sz w:val="20"/>
          <w:szCs w:val="20"/>
        </w:rPr>
        <w:t>(</w:t>
      </w:r>
      <w:r w:rsidRPr="009D2F27">
        <w:rPr>
          <w:rFonts w:ascii="Calibri" w:hAnsi="Calibri" w:cs="Calibri"/>
          <w:i/>
          <w:sz w:val="20"/>
          <w:szCs w:val="20"/>
        </w:rPr>
        <w:t>Source :</w:t>
      </w:r>
      <w:r>
        <w:rPr>
          <w:rFonts w:ascii="Calibri" w:hAnsi="Calibri" w:cs="Calibri"/>
          <w:i/>
          <w:sz w:val="20"/>
          <w:szCs w:val="20"/>
        </w:rPr>
        <w:t xml:space="preserve"> G</w:t>
      </w:r>
      <w:r w:rsidRPr="009D2F27">
        <w:rPr>
          <w:rFonts w:ascii="Calibri" w:hAnsi="Calibri" w:cs="Calibri"/>
          <w:i/>
          <w:sz w:val="20"/>
          <w:szCs w:val="20"/>
        </w:rPr>
        <w:t xml:space="preserve">uide de l’ARENE Ile-de-France </w:t>
      </w:r>
      <w:hyperlink r:id="rId8" w:history="1">
        <w:r w:rsidRPr="009D2F27">
          <w:rPr>
            <w:rStyle w:val="Lienhypertexte"/>
            <w:i/>
            <w:sz w:val="20"/>
          </w:rPr>
          <w:t>https://www.areneidf.org/node/5706</w:t>
        </w:r>
      </w:hyperlink>
      <w:r w:rsidRPr="009D2F27">
        <w:rPr>
          <w:i/>
        </w:rPr>
        <w:t>)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Activer l’économie circulaire dans la commande publique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Réfléchir en amont à l’intégration de l’économie circulaire : définition du besoin, usage par rapport à la possession, </w:t>
      </w:r>
      <w:proofErr w:type="spellStart"/>
      <w:r w:rsidRPr="002E5658">
        <w:rPr>
          <w:rFonts w:ascii="Calibri" w:hAnsi="Calibri" w:cs="Calibri"/>
          <w:sz w:val="20"/>
          <w:szCs w:val="20"/>
        </w:rPr>
        <w:t>sourcing</w:t>
      </w:r>
      <w:proofErr w:type="spellEnd"/>
      <w:r w:rsidRPr="002E5658">
        <w:rPr>
          <w:rFonts w:ascii="Calibri" w:hAnsi="Calibri" w:cs="Calibri"/>
          <w:sz w:val="20"/>
          <w:szCs w:val="20"/>
        </w:rPr>
        <w:t xml:space="preserve">, partenariat d’innovation 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Inscrire l’économie circulaire dans le cahier des charges : objet du marché, spécifications techniques et clauses environnementales favorables à l’économie circulaire (cycle de vie, écoconception, recyclage, capacité de réparation et de réemploi, performance environnementale, caractère </w:t>
      </w:r>
      <w:proofErr w:type="spellStart"/>
      <w:r w:rsidRPr="002E5658">
        <w:rPr>
          <w:rFonts w:ascii="Calibri" w:hAnsi="Calibri" w:cs="Calibri"/>
          <w:sz w:val="20"/>
          <w:szCs w:val="20"/>
        </w:rPr>
        <w:t>biosourcé</w:t>
      </w:r>
      <w:proofErr w:type="spellEnd"/>
      <w:r w:rsidRPr="002E5658">
        <w:rPr>
          <w:rFonts w:ascii="Calibri" w:hAnsi="Calibri" w:cs="Calibri"/>
          <w:sz w:val="20"/>
          <w:szCs w:val="20"/>
        </w:rPr>
        <w:t>, etc.)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Faire de l’économie circulaire un des critères d’attribution du marché : évaluation multicritères, coût global (acquisition, utilisation, maintenance, fin de vie)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Mobiliser la société civile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Stimuler la consommation responsable : promotion des labels et de l’écoconception, du partage, de  l’occasion, allongement de la durée de vie, etc.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S’appuyer sur les acteurs de l’éducation à l’environnement et au développement durable pour sensibiliser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Développer l’économie collaborative et l’économie de la fonctionnalité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Accompagner les acteurs de l’événementiel vers le zéro déchet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Lancer et animer un défi « familles zéro déchet »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Connaître son métabolisme territorial et agir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Qualifier et quantifier les flux de matières et d’énergie entrants, transformés et sortants du territoire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Réaliser une cartographie dynamique des acteurs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Identifier les capacités de production locale et les synergies possibles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Créer et coordonner un espace territorial de coopération avec une gouvernance adaptée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Mobiliser les acteurs économiques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Sensibiliser les acteurs économiques aux enjeux de l’économie circulaire : accès aux ressources, écoconception, tri, coopération entre acteurs, etc.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Identifier les besoins des acteurs et activer les leviers les plus pertinents : financement, foncier, mise en réseau, planification territoriale, services mutualisés, gestion collective des déchets, etc.</w:t>
      </w:r>
    </w:p>
    <w:p w:rsidR="009D2F27" w:rsidRPr="002E5658" w:rsidRDefault="009D2F27" w:rsidP="009D2F27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Coordonner ou participer à des démarches d’écologie industrielle et territoriale, notamment sur les zones d’activités économiques</w:t>
      </w:r>
    </w:p>
    <w:p w:rsidR="009D2F27" w:rsidRPr="002E565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2E5658">
        <w:rPr>
          <w:rFonts w:ascii="Calibri" w:hAnsi="Calibri" w:cs="Calibri"/>
          <w:b/>
          <w:sz w:val="20"/>
          <w:szCs w:val="20"/>
        </w:rPr>
        <w:t>Viser une trajectoire de « territoire à énergie positive »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lastRenderedPageBreak/>
        <w:t>Privilégier la sobriété énergétique sur le patrimoine public et auprès des acteurs privés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Développer les énergies renouvelables locales (géothermie, biomasse, méthanisation, solaire) et de récupération (chaleur fatale issue des eaux usées, des industries, des data </w:t>
      </w:r>
      <w:proofErr w:type="spellStart"/>
      <w:r w:rsidRPr="002E5658">
        <w:rPr>
          <w:rFonts w:ascii="Calibri" w:hAnsi="Calibri" w:cs="Calibri"/>
          <w:sz w:val="20"/>
          <w:szCs w:val="20"/>
        </w:rPr>
        <w:t>centers</w:t>
      </w:r>
      <w:proofErr w:type="spellEnd"/>
      <w:r w:rsidRPr="002E5658">
        <w:rPr>
          <w:rFonts w:ascii="Calibri" w:hAnsi="Calibri" w:cs="Calibri"/>
          <w:sz w:val="20"/>
          <w:szCs w:val="20"/>
        </w:rPr>
        <w:t>, etc.)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Soutenir les projets locaux d’énergie renouvelable participatifs : </w:t>
      </w:r>
      <w:proofErr w:type="spellStart"/>
      <w:r w:rsidRPr="002E5658">
        <w:rPr>
          <w:rFonts w:ascii="Calibri" w:hAnsi="Calibri" w:cs="Calibri"/>
          <w:sz w:val="20"/>
          <w:szCs w:val="20"/>
        </w:rPr>
        <w:t>coconstruction</w:t>
      </w:r>
      <w:proofErr w:type="spellEnd"/>
      <w:r w:rsidRPr="002E5658">
        <w:rPr>
          <w:rFonts w:ascii="Calibri" w:hAnsi="Calibri" w:cs="Calibri"/>
          <w:sz w:val="20"/>
          <w:szCs w:val="20"/>
        </w:rPr>
        <w:t>, mise à disposition de foncier, participation à des sociétés de projet et à leur gouvernance, etc.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Agir sur l’alimentation et l’agriculture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Développer l’approvisionnement durable avec des circuits courts alimentaires de proximité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Accompagner la transition vers des modes de production respectueux de l’environnement et sobres en ressources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Lutter contre le gaspillage alimentaire auprès des citoyens, de la restauration collective, de l’offre alimentaire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Trier à la source des </w:t>
      </w:r>
      <w:proofErr w:type="spellStart"/>
      <w:r w:rsidRPr="002E5658">
        <w:rPr>
          <w:rFonts w:ascii="Calibri" w:hAnsi="Calibri" w:cs="Calibri"/>
          <w:sz w:val="20"/>
          <w:szCs w:val="20"/>
        </w:rPr>
        <w:t>biodéchets</w:t>
      </w:r>
      <w:proofErr w:type="spellEnd"/>
      <w:r w:rsidRPr="002E5658">
        <w:rPr>
          <w:rFonts w:ascii="Calibri" w:hAnsi="Calibri" w:cs="Calibri"/>
          <w:sz w:val="20"/>
          <w:szCs w:val="20"/>
        </w:rPr>
        <w:t xml:space="preserve"> et les valoriser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Viser une trajectoire « zéro déchet, zéro gaspillage »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Poursuivre les actions de prévention des déchets auprès des citoyens et acteurs économiques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Inciter financièrement à la réduction des déchets : tarification ou redevance incitative, systèmes de récompense, consigne, etc.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Améliorer le tri et la collecte des déchets recyclables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Mailler le territoire de pôles « ressources » : points d’apports volontaires, déchèteries fixes ou mobiles, </w:t>
      </w:r>
      <w:proofErr w:type="spellStart"/>
      <w:r w:rsidRPr="002E5658">
        <w:rPr>
          <w:rFonts w:ascii="Calibri" w:hAnsi="Calibri" w:cs="Calibri"/>
          <w:sz w:val="20"/>
          <w:szCs w:val="20"/>
        </w:rPr>
        <w:t>ressourceries</w:t>
      </w:r>
      <w:proofErr w:type="spellEnd"/>
      <w:r w:rsidRPr="002E5658">
        <w:rPr>
          <w:rFonts w:ascii="Calibri" w:hAnsi="Calibri" w:cs="Calibri"/>
          <w:sz w:val="20"/>
          <w:szCs w:val="20"/>
        </w:rPr>
        <w:t>, etc.</w:t>
      </w:r>
    </w:p>
    <w:p w:rsidR="009D2F27" w:rsidRPr="00770EE8" w:rsidRDefault="009D2F27" w:rsidP="009D2F27">
      <w:pPr>
        <w:rPr>
          <w:rFonts w:ascii="Calibri" w:hAnsi="Calibri" w:cs="Calibri"/>
          <w:b/>
          <w:sz w:val="20"/>
          <w:szCs w:val="20"/>
        </w:rPr>
      </w:pPr>
      <w:r w:rsidRPr="00770EE8">
        <w:rPr>
          <w:rFonts w:ascii="Calibri" w:hAnsi="Calibri" w:cs="Calibri"/>
          <w:b/>
          <w:sz w:val="20"/>
          <w:szCs w:val="20"/>
        </w:rPr>
        <w:t>Agir sur l’aménagement et la construction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 xml:space="preserve">Agir en amont de la conception : écoconception, énergie grise, analyse de cycle de vie, utilisation de matériaux </w:t>
      </w:r>
      <w:proofErr w:type="spellStart"/>
      <w:r w:rsidRPr="002E5658">
        <w:rPr>
          <w:rFonts w:ascii="Calibri" w:hAnsi="Calibri" w:cs="Calibri"/>
          <w:sz w:val="20"/>
          <w:szCs w:val="20"/>
        </w:rPr>
        <w:t>biosourcés</w:t>
      </w:r>
      <w:proofErr w:type="spellEnd"/>
      <w:r w:rsidRPr="002E5658">
        <w:rPr>
          <w:rFonts w:ascii="Calibri" w:hAnsi="Calibri" w:cs="Calibri"/>
          <w:sz w:val="20"/>
          <w:szCs w:val="20"/>
        </w:rPr>
        <w:t xml:space="preserve"> ou issus du réemploi ou du recyclage, choix de la rénovation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Agir pendant la phase chantier : valorisation des déchets de chantier, filières de réemploi, urbanisme temporaire, espaces de stockage, plate-forme ou bourse d’échanges, synergies entre chantiers</w:t>
      </w:r>
    </w:p>
    <w:p w:rsidR="009D2F27" w:rsidRPr="002E5658" w:rsidRDefault="009D2F27" w:rsidP="009D2F27">
      <w:pPr>
        <w:pStyle w:val="Paragraphedeliste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E5658">
        <w:rPr>
          <w:rFonts w:ascii="Calibri" w:hAnsi="Calibri" w:cs="Calibri"/>
          <w:sz w:val="20"/>
          <w:szCs w:val="20"/>
        </w:rPr>
        <w:t>Anticiper de nouveaux usages et la fin de vie des bâtiments : diagnostic déchets/ressources, tri sur chantier, mixité des usages, adaptation du bâtiment, démontage, déconstruction, réemploi, traçabilité et non toxicité des matériaux</w:t>
      </w:r>
    </w:p>
    <w:p w:rsidR="009D2F27" w:rsidRDefault="009D2F27" w:rsidP="009D2F27">
      <w:pPr>
        <w:rPr>
          <w:b/>
          <w:u w:val="single"/>
        </w:rPr>
      </w:pPr>
      <w:r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  <w:t xml:space="preserve">2/ </w:t>
      </w:r>
      <w:r w:rsidRPr="009D2F27"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  <w:t>Exemples d’actions qui relèvent de l’économie circulaire, en lien avec ces leviers</w:t>
      </w:r>
    </w:p>
    <w:p w:rsidR="009D2F27" w:rsidRPr="009D2F27" w:rsidRDefault="009D2F27" w:rsidP="009D2F27">
      <w:pPr>
        <w:rPr>
          <w:b/>
          <w:i/>
          <w:u w:val="single"/>
        </w:rPr>
      </w:pPr>
      <w:r w:rsidRPr="009D2F27">
        <w:rPr>
          <w:rFonts w:ascii="Calibri" w:hAnsi="Calibri" w:cs="Calibri"/>
          <w:i/>
          <w:sz w:val="20"/>
          <w:szCs w:val="20"/>
        </w:rPr>
        <w:t>(</w:t>
      </w:r>
      <w:r w:rsidRPr="009D2F27">
        <w:rPr>
          <w:rFonts w:ascii="Calibri" w:hAnsi="Calibri" w:cs="Calibri"/>
          <w:i/>
          <w:sz w:val="20"/>
          <w:szCs w:val="20"/>
        </w:rPr>
        <w:t xml:space="preserve">Source : </w:t>
      </w:r>
      <w:r w:rsidRPr="009D2F27">
        <w:rPr>
          <w:rFonts w:ascii="Calibri" w:hAnsi="Calibri" w:cs="Calibri"/>
          <w:i/>
          <w:color w:val="00B0F0"/>
          <w:sz w:val="20"/>
          <w:szCs w:val="20"/>
        </w:rPr>
        <w:t>V</w:t>
      </w:r>
      <w:r w:rsidRPr="009D2F27">
        <w:rPr>
          <w:rFonts w:ascii="Calibri" w:hAnsi="Calibri" w:cs="Calibri"/>
          <w:i/>
          <w:color w:val="00B0F0"/>
          <w:sz w:val="20"/>
          <w:szCs w:val="20"/>
        </w:rPr>
        <w:t xml:space="preserve">ille de Paris, Plan économie circulaire de Paris 2017-2020 </w:t>
      </w:r>
      <w:r w:rsidRPr="009D2F27">
        <w:rPr>
          <w:rFonts w:ascii="Calibri" w:hAnsi="Calibri" w:cs="Calibri"/>
          <w:i/>
          <w:sz w:val="20"/>
          <w:szCs w:val="20"/>
        </w:rPr>
        <w:t>+ recueil d’initiatives en Auvergne-Rhône-Alpes</w:t>
      </w:r>
      <w:r w:rsidRPr="009D2F27">
        <w:rPr>
          <w:rFonts w:ascii="Calibri" w:hAnsi="Calibri" w:cs="Calibri"/>
          <w:i/>
          <w:sz w:val="20"/>
          <w:szCs w:val="20"/>
        </w:rPr>
        <w:t>, OREE</w:t>
      </w:r>
      <w:r w:rsidRPr="009D2F27">
        <w:rPr>
          <w:rFonts w:ascii="Calibri" w:hAnsi="Calibri" w:cs="Calibri"/>
          <w:i/>
          <w:sz w:val="20"/>
          <w:szCs w:val="20"/>
        </w:rPr>
        <w:t>)</w:t>
      </w: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Valorisation des déchets verts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Recyclage des déchets ligneux des espaces verts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Valorisation des sapins de Noël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Valorisation des matériaux (de construction et de travaux publics)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Recyclage des produits de déconstruction des monuments funéraires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Recyclage des matériaux de voirie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Valorisation des matériaux lors d’opérations de réhabilitations lourdes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Plateforme numérique d'échange interservices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Ecoconception des lieux</w:t>
      </w:r>
      <w:r>
        <w:rPr>
          <w:rFonts w:ascii="Calibri" w:hAnsi="Calibri" w:cs="Calibri"/>
          <w:b/>
          <w:sz w:val="20"/>
          <w:szCs w:val="20"/>
        </w:rPr>
        <w:t>, des espaces</w:t>
      </w:r>
      <w:r w:rsidRPr="003B3268">
        <w:rPr>
          <w:rFonts w:ascii="Calibri" w:hAnsi="Calibri" w:cs="Calibri"/>
          <w:b/>
          <w:sz w:val="20"/>
          <w:szCs w:val="20"/>
        </w:rPr>
        <w:t xml:space="preserve"> et </w:t>
      </w:r>
      <w:r>
        <w:rPr>
          <w:rFonts w:ascii="Calibri" w:hAnsi="Calibri" w:cs="Calibri"/>
          <w:b/>
          <w:sz w:val="20"/>
          <w:szCs w:val="20"/>
        </w:rPr>
        <w:t xml:space="preserve">des </w:t>
      </w:r>
      <w:r w:rsidRPr="003B3268">
        <w:rPr>
          <w:rFonts w:ascii="Calibri" w:hAnsi="Calibri" w:cs="Calibri"/>
          <w:b/>
          <w:sz w:val="20"/>
          <w:szCs w:val="20"/>
        </w:rPr>
        <w:t>événements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Référentiel d'écoconception des espaces verts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Charte des événements écoresponsables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5B95">
        <w:rPr>
          <w:rFonts w:ascii="Symbol" w:hAnsi="Symbol" w:cs="Symbol"/>
          <w:sz w:val="20"/>
          <w:szCs w:val="20"/>
        </w:rPr>
        <w:lastRenderedPageBreak/>
        <w:t></w:t>
      </w:r>
      <w:r w:rsidRPr="00EB5B95">
        <w:rPr>
          <w:rFonts w:ascii="Symbol" w:hAnsi="Symbol" w:cs="Symbol"/>
          <w:sz w:val="20"/>
          <w:szCs w:val="20"/>
        </w:rPr>
        <w:t></w:t>
      </w:r>
      <w:r w:rsidRPr="00EB5B95">
        <w:rPr>
          <w:rFonts w:ascii="Calibri" w:hAnsi="Calibri" w:cs="Calibri"/>
          <w:sz w:val="20"/>
          <w:szCs w:val="20"/>
        </w:rPr>
        <w:t>Entretien écologique des espaces verts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5B95">
        <w:rPr>
          <w:rFonts w:ascii="Symbol" w:hAnsi="Symbol" w:cs="Symbol"/>
          <w:sz w:val="20"/>
          <w:szCs w:val="20"/>
        </w:rPr>
        <w:t></w:t>
      </w:r>
      <w:r>
        <w:rPr>
          <w:rFonts w:ascii="Calibri" w:hAnsi="Calibri" w:cs="Calibri"/>
          <w:sz w:val="20"/>
          <w:szCs w:val="20"/>
        </w:rPr>
        <w:t xml:space="preserve"> </w:t>
      </w:r>
      <w:r w:rsidRPr="00EB5B95">
        <w:rPr>
          <w:rFonts w:ascii="Calibri" w:hAnsi="Calibri" w:cs="Calibri"/>
          <w:sz w:val="20"/>
          <w:szCs w:val="20"/>
        </w:rPr>
        <w:t>Station de gonflage pour vélos</w:t>
      </w:r>
      <w:r>
        <w:rPr>
          <w:rFonts w:ascii="Calibri" w:hAnsi="Calibri" w:cs="Calibri"/>
          <w:sz w:val="20"/>
          <w:szCs w:val="20"/>
        </w:rPr>
        <w:t xml:space="preserve"> éco-conçue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5B95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EB5B95">
        <w:rPr>
          <w:rFonts w:ascii="Calibri" w:hAnsi="Calibri" w:cs="Calibri"/>
          <w:sz w:val="20"/>
          <w:szCs w:val="20"/>
        </w:rPr>
        <w:t>Bâtiments construits dans un logique d'économie circulaire</w:t>
      </w:r>
      <w:r>
        <w:rPr>
          <w:rFonts w:ascii="Calibri" w:hAnsi="Calibri" w:cs="Calibri"/>
          <w:sz w:val="20"/>
          <w:szCs w:val="20"/>
        </w:rPr>
        <w:t xml:space="preserve"> (exemples : </w:t>
      </w:r>
      <w:r w:rsidRPr="00EB5B95">
        <w:rPr>
          <w:rFonts w:ascii="Calibri" w:hAnsi="Calibri" w:cs="Calibri"/>
          <w:sz w:val="20"/>
          <w:szCs w:val="20"/>
        </w:rPr>
        <w:t>utilisation de</w:t>
      </w:r>
      <w:r>
        <w:rPr>
          <w:rFonts w:ascii="Calibri" w:hAnsi="Calibri" w:cs="Calibri"/>
          <w:sz w:val="20"/>
          <w:szCs w:val="20"/>
        </w:rPr>
        <w:t xml:space="preserve"> </w:t>
      </w:r>
      <w:r w:rsidRPr="00EB5B95">
        <w:rPr>
          <w:rFonts w:ascii="Calibri" w:hAnsi="Calibri" w:cs="Calibri"/>
          <w:sz w:val="20"/>
          <w:szCs w:val="20"/>
        </w:rPr>
        <w:t xml:space="preserve">bois </w:t>
      </w:r>
      <w:r>
        <w:rPr>
          <w:rFonts w:ascii="Calibri" w:hAnsi="Calibri" w:cs="Calibri"/>
          <w:sz w:val="20"/>
          <w:szCs w:val="20"/>
        </w:rPr>
        <w:t xml:space="preserve">local, choix de </w:t>
      </w:r>
      <w:r w:rsidRPr="00EB5B95">
        <w:rPr>
          <w:rFonts w:ascii="Calibri" w:hAnsi="Calibri" w:cs="Calibri"/>
          <w:sz w:val="20"/>
          <w:szCs w:val="20"/>
        </w:rPr>
        <w:t xml:space="preserve">matériaux </w:t>
      </w:r>
      <w:r>
        <w:rPr>
          <w:rFonts w:ascii="Calibri" w:hAnsi="Calibri" w:cs="Calibri"/>
          <w:sz w:val="20"/>
          <w:szCs w:val="20"/>
        </w:rPr>
        <w:t>à longue</w:t>
      </w:r>
      <w:r w:rsidRPr="00EB5B95">
        <w:rPr>
          <w:rFonts w:ascii="Calibri" w:hAnsi="Calibri" w:cs="Calibri"/>
          <w:sz w:val="20"/>
          <w:szCs w:val="20"/>
        </w:rPr>
        <w:t xml:space="preserve"> durée</w:t>
      </w:r>
      <w:r>
        <w:rPr>
          <w:rFonts w:ascii="Calibri" w:hAnsi="Calibri" w:cs="Calibri"/>
          <w:sz w:val="20"/>
          <w:szCs w:val="20"/>
        </w:rPr>
        <w:t xml:space="preserve"> de vie, </w:t>
      </w:r>
      <w:r w:rsidRPr="00EB5B95">
        <w:rPr>
          <w:rFonts w:ascii="Calibri" w:hAnsi="Calibri" w:cs="Calibri"/>
          <w:sz w:val="20"/>
          <w:szCs w:val="20"/>
        </w:rPr>
        <w:t>recours à l’énergie solaire et à la cogénération pour répondre en partie aux besoins en électricité et en chauffage,</w:t>
      </w:r>
      <w:r>
        <w:rPr>
          <w:rFonts w:ascii="Calibri" w:hAnsi="Calibri" w:cs="Calibri"/>
          <w:sz w:val="20"/>
          <w:szCs w:val="20"/>
        </w:rPr>
        <w:t xml:space="preserve"> </w:t>
      </w:r>
      <w:r w:rsidRPr="00EB5B95">
        <w:rPr>
          <w:rFonts w:ascii="Calibri" w:hAnsi="Calibri" w:cs="Calibri"/>
          <w:sz w:val="20"/>
          <w:szCs w:val="20"/>
        </w:rPr>
        <w:t>isolation triple-vitrage et ventilation double flux, traitement intégré des</w:t>
      </w:r>
      <w:r>
        <w:rPr>
          <w:rFonts w:ascii="Calibri" w:hAnsi="Calibri" w:cs="Calibri"/>
          <w:sz w:val="20"/>
          <w:szCs w:val="20"/>
        </w:rPr>
        <w:t xml:space="preserve"> </w:t>
      </w:r>
      <w:r w:rsidRPr="00EB5B95">
        <w:rPr>
          <w:rFonts w:ascii="Calibri" w:hAnsi="Calibri" w:cs="Calibri"/>
          <w:sz w:val="20"/>
          <w:szCs w:val="20"/>
        </w:rPr>
        <w:t>eaux usées avant leur rejet, etc.</w:t>
      </w:r>
      <w:r>
        <w:rPr>
          <w:rFonts w:ascii="Calibri" w:hAnsi="Calibri" w:cs="Calibri"/>
          <w:sz w:val="20"/>
          <w:szCs w:val="20"/>
        </w:rPr>
        <w:t>)</w:t>
      </w:r>
    </w:p>
    <w:p w:rsidR="009D2F27" w:rsidRPr="00EB5B95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5B95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Panneaux de signalétique éco-conçus </w:t>
      </w:r>
      <w:r>
        <w:rPr>
          <w:sz w:val="18"/>
          <w:szCs w:val="18"/>
        </w:rPr>
        <w:t>sur l’ensemble du cycle de vie.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Approvisionnements durables et responsables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Approvisionnement en produits bio et durables dans les restaurants collectifs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Schéma de la commande publique socialement et écologiquement responsable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Développement de l’agriculture urbaine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</w:t>
      </w:r>
      <w:r w:rsidRPr="00426F42">
        <w:rPr>
          <w:rFonts w:ascii="Calibri" w:hAnsi="Calibri" w:cs="Calibri"/>
          <w:sz w:val="20"/>
          <w:szCs w:val="20"/>
        </w:rPr>
        <w:t>utualisation de matériel dans le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secteur de l’évènementiel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426F42">
        <w:rPr>
          <w:rFonts w:ascii="Calibri" w:hAnsi="Calibri" w:cs="Calibri"/>
          <w:sz w:val="20"/>
          <w:szCs w:val="20"/>
        </w:rPr>
        <w:t>Valorisation des coproduits de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l’industrie agroalimentaire (brasseries,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boulangeries, amidonneries, laiteries,</w:t>
      </w:r>
      <w:r>
        <w:rPr>
          <w:rFonts w:ascii="Calibri" w:hAnsi="Calibri" w:cs="Calibri"/>
          <w:sz w:val="20"/>
          <w:szCs w:val="20"/>
        </w:rPr>
        <w:t xml:space="preserve"> etc.) pour l’alimentation des animaux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426F42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réation d‘une association « C</w:t>
      </w:r>
      <w:r w:rsidRPr="00426F42">
        <w:rPr>
          <w:rFonts w:ascii="Calibri" w:hAnsi="Calibri" w:cs="Calibri"/>
          <w:sz w:val="20"/>
          <w:szCs w:val="20"/>
        </w:rPr>
        <w:t xml:space="preserve">onstruction </w:t>
      </w:r>
      <w:proofErr w:type="spellStart"/>
      <w:r w:rsidRPr="00426F42">
        <w:rPr>
          <w:rFonts w:ascii="Calibri" w:hAnsi="Calibri" w:cs="Calibri"/>
          <w:sz w:val="20"/>
          <w:szCs w:val="20"/>
        </w:rPr>
        <w:t>Biosourcée</w:t>
      </w:r>
      <w:proofErr w:type="spellEnd"/>
      <w:r>
        <w:rPr>
          <w:rFonts w:ascii="Calibri" w:hAnsi="Calibri" w:cs="Calibri"/>
          <w:sz w:val="20"/>
          <w:szCs w:val="20"/>
        </w:rPr>
        <w:t xml:space="preserve"> » pour l’utilisation </w:t>
      </w:r>
      <w:r w:rsidRPr="00426F42"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 xml:space="preserve">matériaux </w:t>
      </w:r>
      <w:proofErr w:type="spellStart"/>
      <w:r w:rsidRPr="00426F42">
        <w:rPr>
          <w:rFonts w:ascii="Calibri" w:hAnsi="Calibri" w:cs="Calibri"/>
          <w:sz w:val="20"/>
          <w:szCs w:val="20"/>
        </w:rPr>
        <w:t>biosourcés</w:t>
      </w:r>
      <w:proofErr w:type="spellEnd"/>
      <w:r w:rsidRPr="00426F42">
        <w:rPr>
          <w:rFonts w:ascii="Calibri" w:hAnsi="Calibri" w:cs="Calibri"/>
          <w:sz w:val="20"/>
          <w:szCs w:val="20"/>
        </w:rPr>
        <w:t xml:space="preserve"> pour la </w:t>
      </w:r>
      <w:r>
        <w:rPr>
          <w:rFonts w:ascii="Calibri" w:hAnsi="Calibri" w:cs="Calibri"/>
          <w:sz w:val="20"/>
          <w:szCs w:val="20"/>
        </w:rPr>
        <w:t>c</w:t>
      </w:r>
      <w:r w:rsidRPr="00426F42">
        <w:rPr>
          <w:rFonts w:ascii="Calibri" w:hAnsi="Calibri" w:cs="Calibri"/>
          <w:sz w:val="20"/>
          <w:szCs w:val="20"/>
        </w:rPr>
        <w:t>onstruction et la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rénovation en privilégiant les matériaux locaux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et les filières émergentes.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Énergie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Récupération de chaleur des eaux usées pour chauffer des bâtiments publics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Récupération de chaleur de data-</w:t>
      </w:r>
      <w:proofErr w:type="spellStart"/>
      <w:r w:rsidRPr="00426F42">
        <w:rPr>
          <w:rFonts w:ascii="Calibri" w:hAnsi="Calibri" w:cs="Calibri"/>
          <w:color w:val="00B0F0"/>
          <w:sz w:val="20"/>
          <w:szCs w:val="20"/>
        </w:rPr>
        <w:t>centers</w:t>
      </w:r>
      <w:proofErr w:type="spellEnd"/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Refroidissement de bâtiments publics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Alimentation en énergie de bâtiments</w:t>
      </w:r>
      <w:r w:rsidRPr="00426F42">
        <w:rPr>
          <w:rFonts w:ascii="Calibri" w:hAnsi="Calibri" w:cs="Calibri"/>
          <w:sz w:val="20"/>
          <w:szCs w:val="20"/>
        </w:rPr>
        <w:t xml:space="preserve"> par des déchets </w:t>
      </w:r>
      <w:r>
        <w:rPr>
          <w:rFonts w:ascii="Calibri" w:hAnsi="Calibri" w:cs="Calibri"/>
          <w:sz w:val="20"/>
          <w:szCs w:val="20"/>
        </w:rPr>
        <w:t xml:space="preserve">issus </w:t>
      </w:r>
      <w:r w:rsidRPr="00426F42">
        <w:rPr>
          <w:rFonts w:ascii="Calibri" w:hAnsi="Calibri" w:cs="Calibri"/>
          <w:sz w:val="20"/>
          <w:szCs w:val="20"/>
        </w:rPr>
        <w:t xml:space="preserve">de </w:t>
      </w:r>
      <w:r>
        <w:rPr>
          <w:rFonts w:ascii="Calibri" w:hAnsi="Calibri" w:cs="Calibri"/>
          <w:sz w:val="20"/>
          <w:szCs w:val="20"/>
        </w:rPr>
        <w:t>la biomasse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</w:t>
      </w:r>
      <w:r w:rsidRPr="00653DED">
        <w:rPr>
          <w:rFonts w:ascii="Calibri" w:hAnsi="Calibri" w:cs="Calibri"/>
          <w:sz w:val="20"/>
          <w:szCs w:val="20"/>
        </w:rPr>
        <w:t>onversion de déchets organiques</w:t>
      </w:r>
      <w:r>
        <w:rPr>
          <w:rFonts w:ascii="Calibri" w:hAnsi="Calibri" w:cs="Calibri"/>
          <w:sz w:val="20"/>
          <w:szCs w:val="20"/>
        </w:rPr>
        <w:t xml:space="preserve"> </w:t>
      </w:r>
      <w:r w:rsidRPr="00653DED">
        <w:rPr>
          <w:rFonts w:ascii="Calibri" w:hAnsi="Calibri" w:cs="Calibri"/>
          <w:sz w:val="20"/>
          <w:szCs w:val="20"/>
        </w:rPr>
        <w:t>en électricité et chaleur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Méthanisation « à la ferme » et boucle locale pour l’alimentation de véhicules GNV/GNC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Chaudière biomasse fonctionnant à partir de la combustion de rafles de maïs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Plateformes « bois énergie » </w:t>
      </w:r>
      <w:r w:rsidRPr="00426F42">
        <w:rPr>
          <w:rFonts w:ascii="Calibri" w:hAnsi="Calibri" w:cs="Calibri"/>
          <w:sz w:val="20"/>
          <w:szCs w:val="20"/>
        </w:rPr>
        <w:t>située en proximité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immédiate de la zone de production dans un endroit propice au séchage du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bois et est branchée sur un réseau routier assurant une desserte facile des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F42">
        <w:rPr>
          <w:rFonts w:ascii="Calibri" w:hAnsi="Calibri" w:cs="Calibri"/>
          <w:sz w:val="20"/>
          <w:szCs w:val="20"/>
        </w:rPr>
        <w:t>agglomérations voisines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</w:t>
      </w:r>
      <w:proofErr w:type="spellStart"/>
      <w:r w:rsidRPr="002642EE">
        <w:rPr>
          <w:rFonts w:ascii="Calibri" w:hAnsi="Calibri" w:cs="Calibri"/>
          <w:sz w:val="20"/>
          <w:szCs w:val="20"/>
        </w:rPr>
        <w:t>ncinérateur</w:t>
      </w:r>
      <w:proofErr w:type="spellEnd"/>
      <w:r w:rsidRPr="002642EE">
        <w:rPr>
          <w:rFonts w:ascii="Calibri" w:hAnsi="Calibri" w:cs="Calibri"/>
          <w:sz w:val="20"/>
          <w:szCs w:val="20"/>
        </w:rPr>
        <w:t xml:space="preserve"> COV avec triple</w:t>
      </w:r>
      <w:r>
        <w:rPr>
          <w:rFonts w:ascii="Calibri" w:hAnsi="Calibri" w:cs="Calibri"/>
          <w:sz w:val="20"/>
          <w:szCs w:val="20"/>
        </w:rPr>
        <w:t xml:space="preserve"> </w:t>
      </w:r>
      <w:r w:rsidRPr="002642EE">
        <w:rPr>
          <w:rFonts w:ascii="Calibri" w:hAnsi="Calibri" w:cs="Calibri"/>
          <w:sz w:val="20"/>
          <w:szCs w:val="20"/>
        </w:rPr>
        <w:t>récupération de chaleur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Bornes de recharge connectées </w:t>
      </w:r>
      <w:r w:rsidRPr="00A03C39">
        <w:rPr>
          <w:rFonts w:ascii="Calibri" w:hAnsi="Calibri" w:cs="Calibri"/>
          <w:sz w:val="20"/>
          <w:szCs w:val="20"/>
        </w:rPr>
        <w:t>multiservices</w:t>
      </w:r>
      <w:r>
        <w:rPr>
          <w:rFonts w:ascii="Calibri" w:hAnsi="Calibri" w:cs="Calibri"/>
          <w:sz w:val="20"/>
          <w:szCs w:val="20"/>
        </w:rPr>
        <w:t xml:space="preserve"> pour véhicules électriques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Gestion de l’eau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Développement des usages et du réseau d’eau non potable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Gestion rationnalisée de l'eau dans les espaces verts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Mobilité et transport de marchandises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Développement des espaces logistiques urbains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Flotte</w:t>
      </w:r>
      <w:r>
        <w:rPr>
          <w:rFonts w:ascii="Calibri" w:hAnsi="Calibri" w:cs="Calibri"/>
          <w:color w:val="00B0F0"/>
          <w:sz w:val="20"/>
          <w:szCs w:val="20"/>
        </w:rPr>
        <w:t>s</w:t>
      </w:r>
      <w:r w:rsidRPr="00426F42">
        <w:rPr>
          <w:rFonts w:ascii="Calibri" w:hAnsi="Calibri" w:cs="Calibri"/>
          <w:color w:val="00B0F0"/>
          <w:sz w:val="20"/>
          <w:szCs w:val="20"/>
        </w:rPr>
        <w:t xml:space="preserve"> en partage (auto et vélo)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Gr</w:t>
      </w:r>
      <w:r w:rsidRPr="002642EE">
        <w:rPr>
          <w:rFonts w:ascii="Calibri" w:hAnsi="Calibri" w:cs="Calibri"/>
          <w:sz w:val="20"/>
          <w:szCs w:val="20"/>
        </w:rPr>
        <w:t>oupement de FRET pour la desserte des stations de montagne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Véhicules utilitaires à triporteurs électriques</w:t>
      </w:r>
    </w:p>
    <w:p w:rsidR="009D2F27" w:rsidRPr="002642EE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G</w:t>
      </w:r>
      <w:r w:rsidRPr="00A03C39">
        <w:rPr>
          <w:rFonts w:ascii="Calibri" w:hAnsi="Calibri" w:cs="Calibri"/>
          <w:sz w:val="20"/>
          <w:szCs w:val="20"/>
        </w:rPr>
        <w:t>estion dynamique des places</w:t>
      </w:r>
      <w:r>
        <w:rPr>
          <w:rFonts w:ascii="Calibri" w:hAnsi="Calibri" w:cs="Calibri"/>
          <w:sz w:val="20"/>
          <w:szCs w:val="20"/>
        </w:rPr>
        <w:t xml:space="preserve"> </w:t>
      </w:r>
      <w:r w:rsidRPr="00A03C39">
        <w:rPr>
          <w:rFonts w:ascii="Calibri" w:hAnsi="Calibri" w:cs="Calibri"/>
          <w:sz w:val="20"/>
          <w:szCs w:val="20"/>
        </w:rPr>
        <w:t>de parking en voirie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3B3268">
        <w:rPr>
          <w:rFonts w:ascii="Calibri" w:hAnsi="Calibri" w:cs="Calibri"/>
          <w:b/>
          <w:sz w:val="20"/>
          <w:szCs w:val="20"/>
        </w:rPr>
        <w:t>Biodéchets</w:t>
      </w:r>
      <w:proofErr w:type="spellEnd"/>
      <w:r w:rsidRPr="003B3268">
        <w:rPr>
          <w:rFonts w:ascii="Calibri" w:hAnsi="Calibri" w:cs="Calibri"/>
          <w:b/>
          <w:sz w:val="20"/>
          <w:szCs w:val="20"/>
        </w:rPr>
        <w:t xml:space="preserve"> : collecter séparément pour valoriser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 xml:space="preserve">Collecte des </w:t>
      </w:r>
      <w:proofErr w:type="spellStart"/>
      <w:r w:rsidRPr="00426F42">
        <w:rPr>
          <w:rFonts w:ascii="Calibri" w:hAnsi="Calibri" w:cs="Calibri"/>
          <w:color w:val="00B0F0"/>
          <w:sz w:val="20"/>
          <w:szCs w:val="20"/>
        </w:rPr>
        <w:t>biodéchets</w:t>
      </w:r>
      <w:proofErr w:type="spellEnd"/>
      <w:r w:rsidRPr="00426F42">
        <w:rPr>
          <w:rFonts w:ascii="Calibri" w:hAnsi="Calibri" w:cs="Calibri"/>
          <w:color w:val="00B0F0"/>
          <w:sz w:val="20"/>
          <w:szCs w:val="20"/>
        </w:rPr>
        <w:t xml:space="preserve"> (marchés et restaurants municipaux)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Lancement de la collecte séparative des déchets alimentaires des ménages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Accompagnement et aide au compostage collectif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Biens de consommation : faciliter l’allongement de la durée de vie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Valorisation du matériel informatique et téléphonique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Réemploi du mobilier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Expérimentation de kiosques du partage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Soutien aux acteurs du réemploi</w:t>
      </w:r>
      <w:r>
        <w:rPr>
          <w:rFonts w:ascii="Calibri" w:hAnsi="Calibri" w:cs="Calibri"/>
          <w:color w:val="00B0F0"/>
          <w:sz w:val="20"/>
          <w:szCs w:val="20"/>
        </w:rPr>
        <w:t xml:space="preserve"> et des ateliers de réparation</w:t>
      </w:r>
      <w:r w:rsidRPr="00426F42">
        <w:rPr>
          <w:rFonts w:ascii="Calibri" w:hAnsi="Calibri" w:cs="Calibri"/>
          <w:color w:val="00B0F0"/>
          <w:sz w:val="20"/>
          <w:szCs w:val="20"/>
        </w:rPr>
        <w:t xml:space="preserve"> (</w:t>
      </w:r>
      <w:proofErr w:type="spellStart"/>
      <w:r w:rsidRPr="00426F42">
        <w:rPr>
          <w:rFonts w:ascii="Calibri" w:hAnsi="Calibri" w:cs="Calibri"/>
          <w:color w:val="00B0F0"/>
          <w:sz w:val="20"/>
          <w:szCs w:val="20"/>
        </w:rPr>
        <w:t>recycleries</w:t>
      </w:r>
      <w:proofErr w:type="spellEnd"/>
      <w:r w:rsidRPr="00426F42">
        <w:rPr>
          <w:rFonts w:ascii="Calibri" w:hAnsi="Calibri" w:cs="Calibri"/>
          <w:color w:val="00B0F0"/>
          <w:sz w:val="20"/>
          <w:szCs w:val="20"/>
        </w:rPr>
        <w:t xml:space="preserve">, </w:t>
      </w:r>
      <w:proofErr w:type="spellStart"/>
      <w:r w:rsidRPr="00426F42">
        <w:rPr>
          <w:rFonts w:ascii="Calibri" w:hAnsi="Calibri" w:cs="Calibri"/>
          <w:color w:val="00B0F0"/>
          <w:sz w:val="20"/>
          <w:szCs w:val="20"/>
        </w:rPr>
        <w:t>repair</w:t>
      </w:r>
      <w:proofErr w:type="spellEnd"/>
      <w:r w:rsidRPr="00426F42">
        <w:rPr>
          <w:rFonts w:ascii="Calibri" w:hAnsi="Calibri" w:cs="Calibri"/>
          <w:color w:val="00B0F0"/>
          <w:sz w:val="20"/>
          <w:szCs w:val="20"/>
        </w:rPr>
        <w:t xml:space="preserve"> </w:t>
      </w:r>
      <w:proofErr w:type="gramStart"/>
      <w:r w:rsidRPr="00426F42">
        <w:rPr>
          <w:rFonts w:ascii="Calibri" w:hAnsi="Calibri" w:cs="Calibri"/>
          <w:color w:val="00B0F0"/>
          <w:sz w:val="20"/>
          <w:szCs w:val="20"/>
        </w:rPr>
        <w:t>café</w:t>
      </w:r>
      <w:r>
        <w:rPr>
          <w:rFonts w:ascii="Calibri" w:hAnsi="Calibri" w:cs="Calibri"/>
          <w:color w:val="00B0F0"/>
          <w:sz w:val="20"/>
          <w:szCs w:val="20"/>
        </w:rPr>
        <w:t>s</w:t>
      </w:r>
      <w:proofErr w:type="gramEnd"/>
      <w:r>
        <w:rPr>
          <w:rFonts w:ascii="Calibri" w:hAnsi="Calibri" w:cs="Calibri"/>
          <w:color w:val="00B0F0"/>
          <w:sz w:val="20"/>
          <w:szCs w:val="20"/>
        </w:rPr>
        <w:t>, ateliers d’autoréparation de vélos</w:t>
      </w:r>
      <w:r w:rsidRPr="00426F42">
        <w:rPr>
          <w:rFonts w:ascii="Calibri" w:hAnsi="Calibri" w:cs="Calibri"/>
          <w:color w:val="00B0F0"/>
          <w:sz w:val="20"/>
          <w:szCs w:val="20"/>
        </w:rPr>
        <w:t>…)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03C39">
        <w:rPr>
          <w:rFonts w:ascii="Symbol" w:hAnsi="Symbol" w:cs="Symbol"/>
          <w:sz w:val="20"/>
          <w:szCs w:val="20"/>
        </w:rPr>
        <w:lastRenderedPageBreak/>
        <w:t></w:t>
      </w:r>
      <w:r w:rsidRPr="00A03C39">
        <w:rPr>
          <w:rFonts w:ascii="Symbol" w:hAnsi="Symbol" w:cs="Symbol"/>
          <w:sz w:val="20"/>
          <w:szCs w:val="20"/>
        </w:rPr>
        <w:t></w:t>
      </w:r>
      <w:r w:rsidRPr="00A03C39">
        <w:rPr>
          <w:rFonts w:ascii="Calibri" w:hAnsi="Calibri" w:cs="Calibri"/>
          <w:sz w:val="20"/>
          <w:szCs w:val="20"/>
        </w:rPr>
        <w:t>Recyclage en interne des déchets inertes pour réduire les achats</w:t>
      </w:r>
    </w:p>
    <w:p w:rsidR="009D2F27" w:rsidRPr="00A03C39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03C39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</w:t>
      </w:r>
      <w:r w:rsidRPr="00653DED">
        <w:rPr>
          <w:rFonts w:ascii="Calibri" w:hAnsi="Calibri" w:cs="Calibri"/>
          <w:sz w:val="20"/>
          <w:szCs w:val="20"/>
        </w:rPr>
        <w:t>llecte des déchets bureautiques, informatiques et DEEE professionnels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Trajectoire zéro déchets : faciliter le tri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 xml:space="preserve">Déploiement des collectes solidaires Emmaüs </w:t>
      </w:r>
      <w:proofErr w:type="spellStart"/>
      <w:r w:rsidRPr="00426F42">
        <w:rPr>
          <w:rFonts w:ascii="Calibri" w:hAnsi="Calibri" w:cs="Calibri"/>
          <w:color w:val="00B0F0"/>
          <w:sz w:val="20"/>
          <w:szCs w:val="20"/>
        </w:rPr>
        <w:t>Eco-Systèmes</w:t>
      </w:r>
      <w:proofErr w:type="spellEnd"/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Améliorer la proximité des points de collecte des déchets occasionnels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Pr="003B3268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B3268">
        <w:rPr>
          <w:rFonts w:ascii="Calibri" w:hAnsi="Calibri" w:cs="Calibri"/>
          <w:b/>
          <w:sz w:val="20"/>
          <w:szCs w:val="20"/>
        </w:rPr>
        <w:t>Lutte contre le gaspillage alimentaire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Lutte contre le gaspillage alimentaire au sein des restaurants collectifs municipaux</w:t>
      </w:r>
    </w:p>
    <w:p w:rsidR="009D2F27" w:rsidRPr="00426F42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Récupération des invendus sur les marchés alimentaires</w:t>
      </w:r>
    </w:p>
    <w:p w:rsidR="009D2F27" w:rsidRDefault="009D2F27" w:rsidP="009D2F27">
      <w:pPr>
        <w:spacing w:after="0"/>
        <w:rPr>
          <w:rFonts w:ascii="Calibri" w:hAnsi="Calibri" w:cs="Calibri"/>
          <w:color w:val="00B0F0"/>
          <w:sz w:val="20"/>
          <w:szCs w:val="20"/>
        </w:rPr>
      </w:pPr>
      <w:r w:rsidRPr="00426F42">
        <w:rPr>
          <w:rFonts w:ascii="Symbol" w:hAnsi="Symbol" w:cs="Symbol"/>
          <w:color w:val="00B0F0"/>
          <w:sz w:val="20"/>
          <w:szCs w:val="20"/>
        </w:rPr>
        <w:t></w:t>
      </w:r>
      <w:r w:rsidRPr="00426F42">
        <w:rPr>
          <w:rFonts w:ascii="Symbol" w:hAnsi="Symbol" w:cs="Symbol"/>
          <w:color w:val="00B0F0"/>
          <w:sz w:val="20"/>
          <w:szCs w:val="20"/>
        </w:rPr>
        <w:t></w:t>
      </w:r>
      <w:r w:rsidRPr="00426F42">
        <w:rPr>
          <w:rFonts w:ascii="Calibri" w:hAnsi="Calibri" w:cs="Calibri"/>
          <w:color w:val="00B0F0"/>
          <w:sz w:val="20"/>
          <w:szCs w:val="20"/>
        </w:rPr>
        <w:t>Soutien aux associations pour le ramassage des invendus alimentaires</w:t>
      </w:r>
    </w:p>
    <w:p w:rsidR="009D2F27" w:rsidRPr="00A03C39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03C39">
        <w:rPr>
          <w:rFonts w:ascii="Symbol" w:hAnsi="Symbol" w:cs="Symbol"/>
          <w:sz w:val="20"/>
          <w:szCs w:val="20"/>
        </w:rPr>
        <w:t></w:t>
      </w:r>
      <w:r w:rsidRPr="00A03C39"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Favoriser le développement de « </w:t>
      </w:r>
      <w:proofErr w:type="spellStart"/>
      <w:r>
        <w:rPr>
          <w:rFonts w:ascii="Calibri" w:hAnsi="Calibri" w:cs="Calibri"/>
          <w:sz w:val="20"/>
          <w:szCs w:val="20"/>
        </w:rPr>
        <w:t>doggy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bags</w:t>
      </w:r>
      <w:proofErr w:type="spellEnd"/>
      <w:r>
        <w:rPr>
          <w:rFonts w:ascii="Calibri" w:hAnsi="Calibri" w:cs="Calibri"/>
          <w:sz w:val="20"/>
          <w:szCs w:val="20"/>
        </w:rPr>
        <w:t> » dans les restaurants et les cantines (</w:t>
      </w:r>
      <w:r w:rsidRPr="00A03C39">
        <w:rPr>
          <w:rFonts w:ascii="Calibri" w:hAnsi="Calibri" w:cs="Calibri"/>
          <w:sz w:val="20"/>
          <w:szCs w:val="20"/>
        </w:rPr>
        <w:t>sacs gratuits pour remporter vins et mets non</w:t>
      </w:r>
      <w:r>
        <w:rPr>
          <w:rFonts w:ascii="Calibri" w:hAnsi="Calibri" w:cs="Calibri"/>
          <w:sz w:val="20"/>
          <w:szCs w:val="20"/>
        </w:rPr>
        <w:t xml:space="preserve"> </w:t>
      </w:r>
      <w:r w:rsidRPr="00A03C39">
        <w:rPr>
          <w:rFonts w:ascii="Calibri" w:hAnsi="Calibri" w:cs="Calibri"/>
          <w:sz w:val="20"/>
          <w:szCs w:val="20"/>
        </w:rPr>
        <w:t>terminés</w:t>
      </w:r>
      <w:r>
        <w:rPr>
          <w:rFonts w:ascii="Calibri" w:hAnsi="Calibri" w:cs="Calibri"/>
          <w:sz w:val="20"/>
          <w:szCs w:val="20"/>
        </w:rPr>
        <w:t>)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D2F27" w:rsidRPr="00EB5B95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B5B95">
        <w:rPr>
          <w:rFonts w:ascii="Calibri" w:hAnsi="Calibri" w:cs="Calibri"/>
          <w:b/>
          <w:sz w:val="20"/>
          <w:szCs w:val="20"/>
        </w:rPr>
        <w:t>Ecologie industrielle et territoriale</w:t>
      </w:r>
    </w:p>
    <w:p w:rsidR="009D2F27" w:rsidRPr="00EB5B95" w:rsidRDefault="009D2F27" w:rsidP="009D2F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EB5B95">
        <w:rPr>
          <w:rFonts w:cstheme="minorHAnsi"/>
          <w:sz w:val="20"/>
          <w:szCs w:val="20"/>
        </w:rPr>
        <w:t xml:space="preserve">Projets de synergies </w:t>
      </w:r>
      <w:r>
        <w:rPr>
          <w:rFonts w:cstheme="minorHAnsi"/>
          <w:sz w:val="20"/>
          <w:szCs w:val="20"/>
        </w:rPr>
        <w:t xml:space="preserve">de substitution </w:t>
      </w:r>
      <w:r w:rsidRPr="00EB5B95">
        <w:rPr>
          <w:rFonts w:cstheme="minorHAnsi"/>
          <w:sz w:val="20"/>
          <w:szCs w:val="20"/>
        </w:rPr>
        <w:t>industrielles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Utilisation d’u</w:t>
      </w:r>
      <w:r w:rsidRPr="00EB5B95">
        <w:rPr>
          <w:rFonts w:cstheme="minorHAnsi"/>
          <w:sz w:val="20"/>
          <w:szCs w:val="20"/>
        </w:rPr>
        <w:t>n résidu industriel comme produit de saumure pour déneiger les routes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Mutualisation de moyens entre différentes structures</w:t>
      </w:r>
    </w:p>
    <w:p w:rsidR="009D2F27" w:rsidRPr="00EB5B95" w:rsidRDefault="009D2F27" w:rsidP="009D2F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Développer des filières de valorisation, des plastiques par exemple</w:t>
      </w:r>
    </w:p>
    <w:p w:rsidR="009D2F27" w:rsidRPr="00EB5B95" w:rsidRDefault="009D2F27" w:rsidP="009D2F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Economie de fonctionnalité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F27A2">
        <w:rPr>
          <w:rFonts w:ascii="Calibri" w:hAnsi="Calibri" w:cs="Calibri"/>
          <w:sz w:val="20"/>
          <w:szCs w:val="20"/>
        </w:rPr>
        <w:t>Vente</w:t>
      </w:r>
      <w:r>
        <w:rPr>
          <w:rFonts w:ascii="Calibri" w:hAnsi="Calibri" w:cs="Calibri"/>
          <w:sz w:val="20"/>
          <w:szCs w:val="20"/>
        </w:rPr>
        <w:t>/achat</w:t>
      </w:r>
      <w:r w:rsidRPr="007F27A2">
        <w:rPr>
          <w:rFonts w:ascii="Calibri" w:hAnsi="Calibri" w:cs="Calibri"/>
          <w:sz w:val="20"/>
          <w:szCs w:val="20"/>
        </w:rPr>
        <w:t xml:space="preserve"> de données plutôt que vente d’appareils de mesure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Vente/</w:t>
      </w:r>
      <w:r w:rsidRPr="007F27A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achat de lumière plutôt que </w:t>
      </w:r>
      <w:r w:rsidRPr="007F27A2">
        <w:rPr>
          <w:rFonts w:ascii="Calibri" w:hAnsi="Calibri" w:cs="Calibri"/>
          <w:sz w:val="20"/>
          <w:szCs w:val="20"/>
        </w:rPr>
        <w:t>de dispositifs d’éclairage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Plateformes technologiques pour le télétravail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Vente/achat de chaleur au travers de l’installation de micro-chaufferies au bois déchiqueté</w:t>
      </w:r>
    </w:p>
    <w:p w:rsidR="009D2F27" w:rsidRDefault="009D2F27" w:rsidP="009D2F27">
      <w:pPr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03C39">
        <w:rPr>
          <w:rFonts w:ascii="Calibri" w:hAnsi="Calibri" w:cs="Calibri"/>
          <w:sz w:val="20"/>
          <w:szCs w:val="20"/>
        </w:rPr>
        <w:t>Rendre mobile l'espace public (</w:t>
      </w:r>
      <w:r>
        <w:rPr>
          <w:rFonts w:ascii="Calibri" w:hAnsi="Calibri" w:cs="Calibri"/>
          <w:sz w:val="20"/>
          <w:szCs w:val="20"/>
        </w:rPr>
        <w:t>concept de fixations métalliques pe</w:t>
      </w:r>
      <w:r w:rsidRPr="007F27A2">
        <w:rPr>
          <w:rFonts w:ascii="Calibri" w:hAnsi="Calibri" w:cs="Calibri"/>
          <w:sz w:val="20"/>
          <w:szCs w:val="20"/>
        </w:rPr>
        <w:t xml:space="preserve">rmettant de </w:t>
      </w:r>
      <w:proofErr w:type="spellStart"/>
      <w:r w:rsidRPr="007F27A2">
        <w:rPr>
          <w:rFonts w:ascii="Calibri" w:hAnsi="Calibri" w:cs="Calibri"/>
          <w:sz w:val="20"/>
          <w:szCs w:val="20"/>
        </w:rPr>
        <w:t>clipser</w:t>
      </w:r>
      <w:proofErr w:type="spellEnd"/>
      <w:r w:rsidRPr="007F27A2">
        <w:rPr>
          <w:rFonts w:ascii="Calibri" w:hAnsi="Calibri" w:cs="Calibri"/>
          <w:sz w:val="20"/>
          <w:szCs w:val="20"/>
        </w:rPr>
        <w:t xml:space="preserve"> et de </w:t>
      </w:r>
      <w:proofErr w:type="spellStart"/>
      <w:r w:rsidRPr="007F27A2">
        <w:rPr>
          <w:rFonts w:ascii="Calibri" w:hAnsi="Calibri" w:cs="Calibri"/>
          <w:sz w:val="20"/>
          <w:szCs w:val="20"/>
        </w:rPr>
        <w:t>déclipser</w:t>
      </w:r>
      <w:proofErr w:type="spellEnd"/>
      <w:r w:rsidRPr="007F27A2">
        <w:rPr>
          <w:rFonts w:ascii="Calibri" w:hAnsi="Calibri" w:cs="Calibri"/>
          <w:sz w:val="20"/>
          <w:szCs w:val="20"/>
        </w:rPr>
        <w:t xml:space="preserve"> différents types de mobiliers</w:t>
      </w:r>
      <w:r>
        <w:rPr>
          <w:rFonts w:ascii="Calibri" w:hAnsi="Calibri" w:cs="Calibri"/>
          <w:sz w:val="20"/>
          <w:szCs w:val="20"/>
        </w:rPr>
        <w:t xml:space="preserve"> </w:t>
      </w:r>
      <w:r w:rsidRPr="007F27A2">
        <w:rPr>
          <w:rFonts w:ascii="Calibri" w:hAnsi="Calibri" w:cs="Calibri"/>
          <w:sz w:val="20"/>
          <w:szCs w:val="20"/>
        </w:rPr>
        <w:t>urbains</w:t>
      </w:r>
      <w:r>
        <w:rPr>
          <w:rFonts w:ascii="Calibri" w:hAnsi="Calibri" w:cs="Calibri"/>
          <w:sz w:val="20"/>
          <w:szCs w:val="20"/>
        </w:rPr>
        <w:t>)</w:t>
      </w:r>
      <w:r w:rsidRPr="007F27A2">
        <w:rPr>
          <w:rFonts w:ascii="Calibri" w:hAnsi="Calibri" w:cs="Calibri"/>
          <w:sz w:val="20"/>
          <w:szCs w:val="20"/>
        </w:rPr>
        <w:t>.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Éducation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03C39">
        <w:rPr>
          <w:rFonts w:ascii="Calibri" w:hAnsi="Calibri" w:cs="Calibri"/>
          <w:sz w:val="20"/>
          <w:szCs w:val="20"/>
        </w:rPr>
        <w:t>L’éducatio</w:t>
      </w:r>
      <w:r>
        <w:rPr>
          <w:rFonts w:ascii="Calibri" w:hAnsi="Calibri" w:cs="Calibri"/>
          <w:sz w:val="20"/>
          <w:szCs w:val="20"/>
        </w:rPr>
        <w:t>n au développement durable, pil</w:t>
      </w:r>
      <w:r w:rsidRPr="00A03C39">
        <w:rPr>
          <w:rFonts w:ascii="Calibri" w:hAnsi="Calibri" w:cs="Calibri"/>
          <w:sz w:val="20"/>
          <w:szCs w:val="20"/>
        </w:rPr>
        <w:t xml:space="preserve">iers éducatifs </w:t>
      </w:r>
      <w:r>
        <w:rPr>
          <w:rFonts w:ascii="Calibri" w:hAnsi="Calibri" w:cs="Calibri"/>
          <w:sz w:val="20"/>
          <w:szCs w:val="20"/>
        </w:rPr>
        <w:t>des écoles, collèges et lycées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Des agences locales de l’énergie et du développement durable dans les lycées (classes spécifiques avec projets éducatifs durables)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Des </w:t>
      </w:r>
      <w:r w:rsidRPr="00A03C39">
        <w:rPr>
          <w:rFonts w:ascii="Calibri" w:hAnsi="Calibri" w:cs="Calibri"/>
          <w:sz w:val="20"/>
          <w:szCs w:val="20"/>
        </w:rPr>
        <w:t>outil</w:t>
      </w:r>
      <w:r>
        <w:rPr>
          <w:rFonts w:ascii="Calibri" w:hAnsi="Calibri" w:cs="Calibri"/>
          <w:sz w:val="20"/>
          <w:szCs w:val="20"/>
        </w:rPr>
        <w:t>s</w:t>
      </w:r>
      <w:r w:rsidRPr="00A03C39">
        <w:rPr>
          <w:rFonts w:ascii="Calibri" w:hAnsi="Calibri" w:cs="Calibri"/>
          <w:sz w:val="20"/>
          <w:szCs w:val="20"/>
        </w:rPr>
        <w:t xml:space="preserve"> de tri des matériaux</w:t>
      </w:r>
      <w:r>
        <w:rPr>
          <w:rFonts w:ascii="Calibri" w:hAnsi="Calibri" w:cs="Calibri"/>
          <w:sz w:val="20"/>
          <w:szCs w:val="20"/>
        </w:rPr>
        <w:t xml:space="preserve"> </w:t>
      </w:r>
      <w:r w:rsidRPr="00A03C39">
        <w:rPr>
          <w:rFonts w:ascii="Calibri" w:hAnsi="Calibri" w:cs="Calibri"/>
          <w:sz w:val="20"/>
          <w:szCs w:val="20"/>
        </w:rPr>
        <w:t>pour l’apprentissage de l’économie circulaire par les tout-petits</w:t>
      </w:r>
    </w:p>
    <w:p w:rsidR="009D2F27" w:rsidRDefault="009D2F27" w:rsidP="009D2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2F27" w:rsidRDefault="009D2F27" w:rsidP="009D2F2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  <w:t>3/ E</w:t>
      </w:r>
      <w:r w:rsidRPr="009D2F27">
        <w:rPr>
          <w:rFonts w:ascii="Calibri" w:hAnsi="Calibri" w:cs="Calibri"/>
          <w:b/>
          <w:i/>
          <w:color w:val="404040" w:themeColor="text1" w:themeTint="BF"/>
          <w:sz w:val="24"/>
          <w:szCs w:val="20"/>
        </w:rPr>
        <w:t>xemples d’indicateurs de réussite</w:t>
      </w:r>
      <w:r w:rsidRPr="003B3268">
        <w:rPr>
          <w:rFonts w:ascii="Calibri" w:hAnsi="Calibri" w:cs="Calibri"/>
          <w:szCs w:val="20"/>
        </w:rPr>
        <w:t xml:space="preserve"> </w:t>
      </w:r>
    </w:p>
    <w:p w:rsidR="009D2F27" w:rsidRPr="009D2F27" w:rsidRDefault="009D2F27" w:rsidP="009D2F27">
      <w:pPr>
        <w:rPr>
          <w:rFonts w:ascii="Calibri" w:hAnsi="Calibri" w:cs="Calibri"/>
          <w:i/>
          <w:sz w:val="20"/>
          <w:szCs w:val="20"/>
        </w:rPr>
      </w:pPr>
      <w:r w:rsidRPr="009D2F27">
        <w:rPr>
          <w:rFonts w:ascii="Calibri" w:hAnsi="Calibri" w:cs="Calibri"/>
          <w:i/>
          <w:sz w:val="20"/>
          <w:szCs w:val="20"/>
        </w:rPr>
        <w:t>(</w:t>
      </w:r>
      <w:r w:rsidRPr="009D2F27">
        <w:rPr>
          <w:rFonts w:ascii="Calibri" w:hAnsi="Calibri" w:cs="Calibri"/>
          <w:i/>
          <w:sz w:val="20"/>
          <w:szCs w:val="20"/>
        </w:rPr>
        <w:t>Source : V</w:t>
      </w:r>
      <w:r w:rsidRPr="009D2F27">
        <w:rPr>
          <w:rFonts w:ascii="Calibri" w:hAnsi="Calibri" w:cs="Calibri"/>
          <w:i/>
          <w:sz w:val="20"/>
          <w:szCs w:val="20"/>
        </w:rPr>
        <w:t>ille de Paris, P</w:t>
      </w:r>
      <w:r w:rsidRPr="009D2F27">
        <w:rPr>
          <w:rFonts w:ascii="Calibri" w:hAnsi="Calibri" w:cs="Calibri"/>
          <w:i/>
          <w:sz w:val="20"/>
          <w:szCs w:val="20"/>
        </w:rPr>
        <w:t>lan économie circulaire de Paris 2017-2020</w:t>
      </w:r>
      <w:r w:rsidRPr="009D2F27">
        <w:rPr>
          <w:rFonts w:ascii="Calibri" w:hAnsi="Calibri" w:cs="Calibri"/>
          <w:i/>
          <w:sz w:val="20"/>
          <w:szCs w:val="20"/>
        </w:rPr>
        <w:t>)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Plus de 6 000 m3 de broyat par an sont produits par les espaces verts parisiens,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Réutilisation de 3 000 tonnes de graves par an, en moyenne, issues du recyclage des monuments</w:t>
      </w:r>
      <w:r>
        <w:rPr>
          <w:rFonts w:ascii="Calibri" w:hAnsi="Calibri" w:cs="Calibri"/>
          <w:sz w:val="20"/>
          <w:szCs w:val="20"/>
        </w:rPr>
        <w:t xml:space="preserve"> </w:t>
      </w:r>
      <w:r w:rsidRPr="003B3268">
        <w:rPr>
          <w:rFonts w:ascii="Calibri" w:hAnsi="Calibri" w:cs="Calibri"/>
          <w:sz w:val="20"/>
          <w:szCs w:val="20"/>
        </w:rPr>
        <w:t>funéraires,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7 à 8 000 tonnes de granit issus du réemploi sont posés annuellement sur la voirie parisienne,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32,9% d’alimentation durable servie dans la restauration collective de l’administration parisienne en 2015, dont 29,12% de bio (51,2 % dans les crèches). Paris est ainsi le premier</w:t>
      </w:r>
      <w:r>
        <w:rPr>
          <w:rFonts w:ascii="Calibri" w:hAnsi="Calibri" w:cs="Calibri"/>
          <w:sz w:val="20"/>
          <w:szCs w:val="20"/>
        </w:rPr>
        <w:t xml:space="preserve"> </w:t>
      </w:r>
      <w:r w:rsidRPr="003B3268">
        <w:rPr>
          <w:rFonts w:ascii="Calibri" w:hAnsi="Calibri" w:cs="Calibri"/>
          <w:sz w:val="20"/>
          <w:szCs w:val="20"/>
        </w:rPr>
        <w:t>acheteur public français de produits bio,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28 nouveaux projets dédiés à des projets d'agriculture urbaine, soit plus de 5.3 ha,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44% d’économie de la consommation électrique de l’Hôtel de Ville pour la production de froid</w:t>
      </w:r>
      <w:r>
        <w:rPr>
          <w:rFonts w:ascii="Calibri" w:hAnsi="Calibri" w:cs="Calibri"/>
          <w:sz w:val="20"/>
          <w:szCs w:val="20"/>
        </w:rPr>
        <w:t xml:space="preserve"> </w:t>
      </w:r>
      <w:r w:rsidRPr="003B3268">
        <w:rPr>
          <w:rFonts w:ascii="Calibri" w:hAnsi="Calibri" w:cs="Calibri"/>
          <w:sz w:val="20"/>
          <w:szCs w:val="20"/>
        </w:rPr>
        <w:t>par l'utilisation de l’eau non-potable,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Objectif de réduction de 20 % des consommations d'énergie dans les piscines grâce à la</w:t>
      </w:r>
      <w:r>
        <w:rPr>
          <w:rFonts w:ascii="Calibri" w:hAnsi="Calibri" w:cs="Calibri"/>
          <w:sz w:val="20"/>
          <w:szCs w:val="20"/>
        </w:rPr>
        <w:t xml:space="preserve"> </w:t>
      </w:r>
      <w:r w:rsidRPr="003B3268">
        <w:rPr>
          <w:rFonts w:ascii="Calibri" w:hAnsi="Calibri" w:cs="Calibri"/>
          <w:sz w:val="20"/>
          <w:szCs w:val="20"/>
        </w:rPr>
        <w:t>valorisation de la chaleur,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Baisse de 40% de berlines et citadines dans le parc motorisé municipal,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lastRenderedPageBreak/>
        <w:t xml:space="preserve">2 locations par seconde pour </w:t>
      </w:r>
      <w:proofErr w:type="spellStart"/>
      <w:r w:rsidRPr="003B3268">
        <w:rPr>
          <w:rFonts w:ascii="Calibri" w:hAnsi="Calibri" w:cs="Calibri"/>
          <w:sz w:val="20"/>
          <w:szCs w:val="20"/>
        </w:rPr>
        <w:t>Vélib</w:t>
      </w:r>
      <w:proofErr w:type="spellEnd"/>
      <w:r w:rsidRPr="003B3268">
        <w:rPr>
          <w:rFonts w:ascii="Calibri" w:hAnsi="Calibri" w:cs="Calibri"/>
          <w:sz w:val="20"/>
          <w:szCs w:val="20"/>
        </w:rPr>
        <w:t>’ : 286 000 abonnés,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 xml:space="preserve">875 bornes </w:t>
      </w:r>
      <w:proofErr w:type="spellStart"/>
      <w:r w:rsidRPr="003B3268">
        <w:rPr>
          <w:rFonts w:ascii="Calibri" w:hAnsi="Calibri" w:cs="Calibri"/>
          <w:sz w:val="20"/>
          <w:szCs w:val="20"/>
        </w:rPr>
        <w:t>Autolib</w:t>
      </w:r>
      <w:proofErr w:type="spellEnd"/>
      <w:r w:rsidRPr="003B3268">
        <w:rPr>
          <w:rFonts w:ascii="Calibri" w:hAnsi="Calibri" w:cs="Calibri"/>
          <w:sz w:val="20"/>
          <w:szCs w:val="20"/>
        </w:rPr>
        <w:t>’ : 67 500 abonnés,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Création de 15 espaces de logistiques urbains (ELU),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 xml:space="preserve">116 tonnes de </w:t>
      </w:r>
      <w:proofErr w:type="spellStart"/>
      <w:r w:rsidRPr="003B3268">
        <w:rPr>
          <w:rFonts w:ascii="Calibri" w:hAnsi="Calibri" w:cs="Calibri"/>
          <w:sz w:val="20"/>
          <w:szCs w:val="20"/>
        </w:rPr>
        <w:t>biodéchets</w:t>
      </w:r>
      <w:proofErr w:type="spellEnd"/>
      <w:r w:rsidRPr="003B3268">
        <w:rPr>
          <w:rFonts w:ascii="Calibri" w:hAnsi="Calibri" w:cs="Calibri"/>
          <w:sz w:val="20"/>
          <w:szCs w:val="20"/>
        </w:rPr>
        <w:t xml:space="preserve"> collectés en 2015 pour les marchés alimentaires et les restaurants</w:t>
      </w:r>
      <w:r>
        <w:rPr>
          <w:rFonts w:ascii="Calibri" w:hAnsi="Calibri" w:cs="Calibri"/>
          <w:sz w:val="20"/>
          <w:szCs w:val="20"/>
        </w:rPr>
        <w:t xml:space="preserve"> </w:t>
      </w:r>
      <w:r w:rsidRPr="003B3268">
        <w:rPr>
          <w:rFonts w:ascii="Calibri" w:hAnsi="Calibri" w:cs="Calibri"/>
          <w:sz w:val="20"/>
          <w:szCs w:val="20"/>
        </w:rPr>
        <w:t>administratifs,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Environ 300 tonnes de déchets évités en 2015 grâce au compostage collectif sur les 422 sites de</w:t>
      </w:r>
      <w:r>
        <w:rPr>
          <w:rFonts w:ascii="Calibri" w:hAnsi="Calibri" w:cs="Calibri"/>
          <w:sz w:val="20"/>
          <w:szCs w:val="20"/>
        </w:rPr>
        <w:t xml:space="preserve"> </w:t>
      </w:r>
      <w:r w:rsidRPr="003B3268">
        <w:rPr>
          <w:rFonts w:ascii="Calibri" w:hAnsi="Calibri" w:cs="Calibri"/>
          <w:sz w:val="20"/>
          <w:szCs w:val="20"/>
        </w:rPr>
        <w:t>compostage collectifs et 6 composteurs de quartier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 xml:space="preserve">3 000 tonnes d’objets collectés en 2015 par les </w:t>
      </w:r>
      <w:proofErr w:type="spellStart"/>
      <w:r w:rsidRPr="003B3268">
        <w:rPr>
          <w:rFonts w:ascii="Calibri" w:hAnsi="Calibri" w:cs="Calibri"/>
          <w:sz w:val="20"/>
          <w:szCs w:val="20"/>
        </w:rPr>
        <w:t>recycleries</w:t>
      </w:r>
      <w:proofErr w:type="spellEnd"/>
      <w:r w:rsidRPr="003B3268">
        <w:rPr>
          <w:rFonts w:ascii="Calibri" w:hAnsi="Calibri" w:cs="Calibri"/>
          <w:sz w:val="20"/>
          <w:szCs w:val="20"/>
        </w:rPr>
        <w:t xml:space="preserve"> parisiennes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141 tonnes d’objets ont été collectées en 2015 grâce aux « collectes solidaires »,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Bilan carbone : baisse de 9,2% des émissions de gaz à effet de serre entre 2004 et 2014,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Baisse de 13% en 10 ans des émissions liées aux déchets,</w:t>
      </w:r>
    </w:p>
    <w:p w:rsidR="009D2F27" w:rsidRPr="003B3268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Réduction de 7% du tonnage des déchets ménagers de 2011 à 2015,</w:t>
      </w:r>
    </w:p>
    <w:p w:rsidR="009D2F27" w:rsidRDefault="009D2F27" w:rsidP="009D2F27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B3268">
        <w:rPr>
          <w:rFonts w:ascii="Calibri" w:hAnsi="Calibri" w:cs="Calibri"/>
          <w:sz w:val="20"/>
          <w:szCs w:val="20"/>
        </w:rPr>
        <w:t>Les émissions du transport routier des personnes sont en forte baisse de 23%.</w:t>
      </w:r>
    </w:p>
    <w:p w:rsidR="009D2F27" w:rsidRDefault="009D2F27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9D2F27" w:rsidRDefault="009D2F27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b/>
          <w:color w:val="00847D"/>
          <w:sz w:val="32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i/>
          <w:sz w:val="18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i/>
          <w:sz w:val="18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i/>
          <w:sz w:val="18"/>
          <w:szCs w:val="28"/>
        </w:rPr>
      </w:pPr>
    </w:p>
    <w:p w:rsidR="00645421" w:rsidRDefault="00645421">
      <w:pPr>
        <w:rPr>
          <w:rFonts w:ascii="Arial" w:eastAsia="Times New Roman" w:hAnsi="Arial" w:cs="Times New Roman"/>
          <w:i/>
          <w:sz w:val="18"/>
          <w:szCs w:val="28"/>
        </w:rPr>
      </w:pPr>
    </w:p>
    <w:p w:rsidR="00645421" w:rsidRPr="00645421" w:rsidRDefault="00645421">
      <w:pPr>
        <w:rPr>
          <w:rFonts w:ascii="Arial" w:eastAsia="Times New Roman" w:hAnsi="Arial" w:cs="Times New Roman"/>
          <w:i/>
          <w:sz w:val="18"/>
          <w:szCs w:val="28"/>
        </w:rPr>
      </w:pPr>
      <w:r>
        <w:rPr>
          <w:rFonts w:ascii="Arial" w:eastAsia="Times New Roman" w:hAnsi="Arial" w:cs="Times New Roman"/>
          <w:i/>
          <w:sz w:val="18"/>
          <w:szCs w:val="28"/>
        </w:rPr>
        <w:t xml:space="preserve">Document rédigé par </w:t>
      </w:r>
      <w:r w:rsidRPr="00645421">
        <w:rPr>
          <w:rFonts w:ascii="Arial" w:eastAsia="Times New Roman" w:hAnsi="Arial" w:cs="Times New Roman"/>
          <w:i/>
          <w:sz w:val="18"/>
          <w:szCs w:val="28"/>
        </w:rPr>
        <w:t>AURA-EE, juillet 2018</w:t>
      </w:r>
      <w:bookmarkStart w:id="0" w:name="_GoBack"/>
      <w:bookmarkEnd w:id="0"/>
    </w:p>
    <w:sectPr w:rsidR="00645421" w:rsidRPr="00645421" w:rsidSect="001C6AD3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D3" w:rsidRDefault="001C6AD3" w:rsidP="001C6AD3">
      <w:pPr>
        <w:spacing w:after="0" w:line="240" w:lineRule="auto"/>
      </w:pPr>
      <w:r>
        <w:separator/>
      </w:r>
    </w:p>
  </w:endnote>
  <w:endnote w:type="continuationSeparator" w:id="0">
    <w:p w:rsidR="001C6AD3" w:rsidRDefault="001C6AD3" w:rsidP="001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Default="001C6AD3" w:rsidP="001C6AD3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771B22BC" wp14:editId="671080CD">
          <wp:extent cx="9477373" cy="238125"/>
          <wp:effectExtent l="0" t="0" r="0" b="0"/>
          <wp:docPr id="2" name="Image 2" descr="K:\964_GREENCYCLE\WP Com\outils de com\bandeau outils\bandeau_pied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964_GREENCYCLE\WP Com\outils de com\bandeau outils\bandeau_pied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1" cy="2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D3" w:rsidRDefault="001C6AD3" w:rsidP="001C6AD3">
      <w:pPr>
        <w:spacing w:after="0" w:line="240" w:lineRule="auto"/>
      </w:pPr>
      <w:r>
        <w:separator/>
      </w:r>
    </w:p>
  </w:footnote>
  <w:footnote w:type="continuationSeparator" w:id="0">
    <w:p w:rsidR="001C6AD3" w:rsidRDefault="001C6AD3" w:rsidP="001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Pr="001C6AD3" w:rsidRDefault="001C6AD3" w:rsidP="001C6AD3">
    <w:pPr>
      <w:pStyle w:val="En-tte"/>
      <w:tabs>
        <w:tab w:val="clear" w:pos="9072"/>
        <w:tab w:val="right" w:pos="10490"/>
      </w:tabs>
      <w:ind w:left="-1417"/>
      <w:jc w:val="both"/>
      <w:rPr>
        <w:sz w:val="18"/>
      </w:rPr>
    </w:pPr>
    <w:r w:rsidRPr="001C6AD3">
      <w:rPr>
        <w:noProof/>
        <w:sz w:val="18"/>
        <w:lang w:eastAsia="fr-FR"/>
      </w:rPr>
      <w:drawing>
        <wp:inline distT="0" distB="0" distL="0" distR="0" wp14:anchorId="56AF38F1" wp14:editId="1B2860ED">
          <wp:extent cx="7565366" cy="940279"/>
          <wp:effectExtent l="0" t="0" r="0" b="0"/>
          <wp:docPr id="1" name="Image 1" descr="K:\964_GREENCYCLE\WP Com\outils de com\bandeau outils\bandeau_out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964_GREENCYCLE\WP Com\outils de com\bandeau outils\bandeau_out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54" cy="94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85"/>
    <w:multiLevelType w:val="hybridMultilevel"/>
    <w:tmpl w:val="3E8AC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51A"/>
    <w:multiLevelType w:val="hybridMultilevel"/>
    <w:tmpl w:val="78B07D70"/>
    <w:lvl w:ilvl="0" w:tplc="169224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5439"/>
    <w:multiLevelType w:val="hybridMultilevel"/>
    <w:tmpl w:val="A91E5272"/>
    <w:lvl w:ilvl="0" w:tplc="169224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3"/>
    <w:rsid w:val="001C6AD3"/>
    <w:rsid w:val="00361CFF"/>
    <w:rsid w:val="0045187D"/>
    <w:rsid w:val="00645421"/>
    <w:rsid w:val="009D2F27"/>
    <w:rsid w:val="00B5363B"/>
    <w:rsid w:val="00D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2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2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eidf.org/node/57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pszerb</dc:creator>
  <cp:lastModifiedBy>Anne Luminet</cp:lastModifiedBy>
  <cp:revision>2</cp:revision>
  <dcterms:created xsi:type="dcterms:W3CDTF">2018-07-18T16:18:00Z</dcterms:created>
  <dcterms:modified xsi:type="dcterms:W3CDTF">2018-07-18T16:18:00Z</dcterms:modified>
</cp:coreProperties>
</file>