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7B03" w14:textId="77777777" w:rsidR="00E32413" w:rsidRPr="00FE4368" w:rsidRDefault="00E32413" w:rsidP="00E32413">
      <w:pPr>
        <w:jc w:val="center"/>
        <w:rPr>
          <w:b/>
          <w:color w:val="0070C0"/>
          <w:sz w:val="28"/>
          <w:szCs w:val="28"/>
          <w:u w:val="single"/>
        </w:rPr>
      </w:pPr>
      <w:r w:rsidRPr="00FE4368">
        <w:rPr>
          <w:b/>
          <w:color w:val="0070C0"/>
          <w:sz w:val="28"/>
          <w:szCs w:val="28"/>
          <w:u w:val="single"/>
        </w:rPr>
        <w:t>Atelier : Achat public et économie de la fonctionnalité et de la coopération</w:t>
      </w:r>
    </w:p>
    <w:p w14:paraId="61BCE4D9" w14:textId="77777777" w:rsidR="00E32413" w:rsidRPr="00FE4368" w:rsidRDefault="00E32413" w:rsidP="00E32413">
      <w:pPr>
        <w:jc w:val="center"/>
        <w:rPr>
          <w:b/>
          <w:color w:val="0070C0"/>
          <w:sz w:val="28"/>
          <w:szCs w:val="28"/>
          <w:u w:val="single"/>
        </w:rPr>
      </w:pPr>
      <w:r w:rsidRPr="00FE4368">
        <w:rPr>
          <w:b/>
          <w:color w:val="0070C0"/>
          <w:sz w:val="28"/>
          <w:szCs w:val="28"/>
          <w:u w:val="single"/>
        </w:rPr>
        <w:t>Séance 4.2</w:t>
      </w:r>
    </w:p>
    <w:p w14:paraId="26A452F8" w14:textId="77777777" w:rsidR="008B0402" w:rsidRDefault="008B0402" w:rsidP="00FE4368">
      <w:pPr>
        <w:rPr>
          <w:sz w:val="28"/>
          <w:szCs w:val="28"/>
          <w:u w:val="single"/>
        </w:rPr>
      </w:pPr>
    </w:p>
    <w:p w14:paraId="090FAA6C" w14:textId="77777777" w:rsidR="00FA3E53" w:rsidRPr="00FA3E53" w:rsidRDefault="00FA3E53" w:rsidP="00FE4368">
      <w:pPr>
        <w:rPr>
          <w:color w:val="0070C0"/>
          <w:sz w:val="24"/>
          <w:szCs w:val="24"/>
        </w:rPr>
      </w:pPr>
      <w:r w:rsidRPr="00FA3E53">
        <w:rPr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772B0" wp14:editId="76F7C32B">
                <wp:simplePos x="0" y="0"/>
                <wp:positionH relativeFrom="margin">
                  <wp:posOffset>-114935</wp:posOffset>
                </wp:positionH>
                <wp:positionV relativeFrom="paragraph">
                  <wp:posOffset>241300</wp:posOffset>
                </wp:positionV>
                <wp:extent cx="5920740" cy="1905000"/>
                <wp:effectExtent l="19050" t="1905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9DA7F1" id="Rectangle 1" o:spid="_x0000_s1026" style="position:absolute;margin-left:-9.05pt;margin-top:19pt;width:466.2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" filled="f" strokecolor="#0070c0" strokeweight="2.25pt">
                <w10:wrap anchorx="margin"/>
              </v:rect>
            </w:pict>
          </mc:Fallback>
        </mc:AlternateContent>
      </w:r>
      <w:r w:rsidR="008B0402" w:rsidRPr="00FA3E53">
        <w:rPr>
          <w:color w:val="0070C0"/>
          <w:sz w:val="24"/>
          <w:szCs w:val="24"/>
        </w:rPr>
        <w:t>Introduction</w:t>
      </w:r>
    </w:p>
    <w:p w14:paraId="390998CC" w14:textId="77777777" w:rsidR="00FE4368" w:rsidRDefault="00FE4368" w:rsidP="00FE4368">
      <w:r>
        <w:t xml:space="preserve">Le CIRIDD a investi le sujet de l’économie de la fonctionnalité en 2011 via la création du Club CLEF. Il a ensuite lancé l’action collective RELIEF qui consiste à accompagner des entreprises dans la transformation de leur modèle économique. Pour faire écho au développement de l’offre, le CIRIDD a ensuite initié l’action COEF P, Commande et économie de la fonctionnalité dans le secteur public, avec le soutien de d’ADEME et de la Région Auvergne-Rhône-Alpes, dans l’objectif de faciliter l’intégration de l’EFC dans la commande publique. </w:t>
      </w:r>
    </w:p>
    <w:p w14:paraId="4037A05A" w14:textId="77777777" w:rsidR="00FE4368" w:rsidRDefault="00FE4368" w:rsidP="00FE4368">
      <w:pPr>
        <w:rPr>
          <w:b/>
          <w:sz w:val="28"/>
          <w:szCs w:val="28"/>
          <w:u w:val="single"/>
        </w:rPr>
      </w:pPr>
      <w:r w:rsidRPr="00FE4368">
        <w:rPr>
          <w:b/>
        </w:rPr>
        <w:t>&gt;&gt; Consulter la communauté en ligne sur la Commande publique et l’économie de la fonctionnalité</w:t>
      </w:r>
      <w:r>
        <w:t xml:space="preserve"> https://www.eclaira.org/community/pg/groups/6226/commande-publique-economie-de-fonctionnalite</w:t>
      </w:r>
    </w:p>
    <w:p w14:paraId="310F7928" w14:textId="77777777" w:rsidR="00FE4368" w:rsidRPr="003D70BF" w:rsidRDefault="00FE4368" w:rsidP="00FE4368">
      <w:pPr>
        <w:rPr>
          <w:b/>
          <w:sz w:val="28"/>
          <w:szCs w:val="28"/>
          <w:u w:val="single"/>
        </w:rPr>
      </w:pPr>
    </w:p>
    <w:p w14:paraId="39A7D2EA" w14:textId="77777777" w:rsidR="00E32413" w:rsidRPr="00FE4368" w:rsidRDefault="00FA3E53" w:rsidP="00E32413">
      <w:pPr>
        <w:rPr>
          <w:color w:val="0070C0"/>
          <w:sz w:val="24"/>
        </w:rPr>
      </w:pPr>
      <w:r>
        <w:rPr>
          <w:color w:val="0070C0"/>
          <w:sz w:val="24"/>
        </w:rPr>
        <w:t>Avec les interventions de :</w:t>
      </w:r>
    </w:p>
    <w:p w14:paraId="76533D9C" w14:textId="77777777" w:rsidR="00E32413" w:rsidRDefault="00E32413" w:rsidP="00E32413">
      <w:pPr>
        <w:pStyle w:val="Paragraphedeliste"/>
        <w:numPr>
          <w:ilvl w:val="0"/>
          <w:numId w:val="1"/>
        </w:numPr>
      </w:pPr>
      <w:r w:rsidRPr="00DF4281">
        <w:rPr>
          <w:b/>
        </w:rPr>
        <w:t>Thierry Bory</w:t>
      </w:r>
      <w:r>
        <w:t xml:space="preserve"> : co-dirigeant de 2 sociétés : « Ecodéchets Environnement » et « Jegèremesdéchets Solution » </w:t>
      </w:r>
    </w:p>
    <w:p w14:paraId="726F8B5F" w14:textId="77777777" w:rsidR="00EC5AAD" w:rsidRPr="00EC5AAD" w:rsidRDefault="00EC5AAD" w:rsidP="00EC5AAD">
      <w:pPr>
        <w:pStyle w:val="Paragraphedeliste"/>
        <w:numPr>
          <w:ilvl w:val="0"/>
          <w:numId w:val="1"/>
        </w:numPr>
      </w:pPr>
      <w:r w:rsidRPr="00DF4281">
        <w:rPr>
          <w:b/>
        </w:rPr>
        <w:t>Romain Demissy</w:t>
      </w:r>
      <w:r>
        <w:t xml:space="preserve"> : intervenant-chercheur associé à Atemis </w:t>
      </w:r>
    </w:p>
    <w:p w14:paraId="3C42A589" w14:textId="77777777" w:rsidR="00E32413" w:rsidRDefault="00E32413" w:rsidP="00E32413">
      <w:pPr>
        <w:pStyle w:val="Paragraphedeliste"/>
        <w:numPr>
          <w:ilvl w:val="0"/>
          <w:numId w:val="4"/>
        </w:numPr>
      </w:pPr>
      <w:r w:rsidRPr="00DF4281">
        <w:rPr>
          <w:b/>
        </w:rPr>
        <w:t>James Pédron</w:t>
      </w:r>
      <w:r>
        <w:t> : chef de projet au CIRIDD</w:t>
      </w:r>
    </w:p>
    <w:p w14:paraId="63D55381" w14:textId="77777777" w:rsidR="00FA3E53" w:rsidRDefault="00FA3E53" w:rsidP="00FA3E53">
      <w:pPr>
        <w:pStyle w:val="Paragraphedeliste"/>
      </w:pPr>
    </w:p>
    <w:p w14:paraId="09F17ACC" w14:textId="77777777" w:rsidR="00E32413" w:rsidRPr="00FE4368" w:rsidRDefault="00E32413" w:rsidP="00E32413">
      <w:pPr>
        <w:rPr>
          <w:color w:val="0070C0"/>
          <w:sz w:val="24"/>
        </w:rPr>
      </w:pPr>
      <w:r w:rsidRPr="00FE4368">
        <w:rPr>
          <w:color w:val="0070C0"/>
          <w:sz w:val="24"/>
        </w:rPr>
        <w:t xml:space="preserve">Les actualités de l’EFC : </w:t>
      </w:r>
    </w:p>
    <w:p w14:paraId="10008C0D" w14:textId="77777777" w:rsidR="00E32413" w:rsidRDefault="00E32413" w:rsidP="00E32413">
      <w:pPr>
        <w:pStyle w:val="Paragraphedeliste"/>
        <w:numPr>
          <w:ilvl w:val="0"/>
          <w:numId w:val="3"/>
        </w:numPr>
      </w:pPr>
      <w:r>
        <w:t xml:space="preserve">Les universités d’été de l’économie de la fonctionnalité ont eu lieu au mois de septembre à Tourcoing </w:t>
      </w:r>
    </w:p>
    <w:p w14:paraId="00097B16" w14:textId="77777777" w:rsidR="00E32413" w:rsidRDefault="00E32413" w:rsidP="00E32413">
      <w:pPr>
        <w:pStyle w:val="Paragraphedeliste"/>
        <w:numPr>
          <w:ilvl w:val="0"/>
          <w:numId w:val="3"/>
        </w:numPr>
      </w:pPr>
      <w:r>
        <w:t xml:space="preserve">Podcast produit par l’IEEFC sur les connaissances diffusées par les ateliers </w:t>
      </w:r>
    </w:p>
    <w:p w14:paraId="06C39C7D" w14:textId="77777777" w:rsidR="00E32413" w:rsidRDefault="00E32413" w:rsidP="00E32413">
      <w:pPr>
        <w:pStyle w:val="Paragraphedeliste"/>
        <w:numPr>
          <w:ilvl w:val="0"/>
          <w:numId w:val="3"/>
        </w:numPr>
      </w:pPr>
      <w:r>
        <w:t xml:space="preserve">Dans le cadre du programme COEFP, production d’une étude intitulée « Intégrer l’économie de la fonctionnalité dans la commande publique » et production future de fiches trajectoires sur les différents territoires accompagnés </w:t>
      </w:r>
    </w:p>
    <w:p w14:paraId="1957224F" w14:textId="77777777" w:rsidR="00B63D55" w:rsidRDefault="00674895" w:rsidP="00B63D55">
      <w:pPr>
        <w:pStyle w:val="Paragraphedeliste"/>
        <w:numPr>
          <w:ilvl w:val="0"/>
          <w:numId w:val="3"/>
        </w:numPr>
      </w:pPr>
      <w:r>
        <w:t xml:space="preserve">La </w:t>
      </w:r>
      <w:r w:rsidR="00B63D55">
        <w:t>prochaine séance de l’atelier a</w:t>
      </w:r>
      <w:r w:rsidR="00157D6E">
        <w:t>ura</w:t>
      </w:r>
      <w:r w:rsidR="00B63D55">
        <w:t xml:space="preserve"> lieu le 20 janvier à 10h30.</w:t>
      </w:r>
    </w:p>
    <w:p w14:paraId="3ECBE8FD" w14:textId="77777777" w:rsidR="00784522" w:rsidRDefault="00784522" w:rsidP="00E32413"/>
    <w:p w14:paraId="2FB613B6" w14:textId="77777777" w:rsidR="00EC5AAD" w:rsidRDefault="00EC5AAD" w:rsidP="00EC5AAD">
      <w:pPr>
        <w:pStyle w:val="Titre1"/>
      </w:pPr>
      <w:r>
        <w:t xml:space="preserve">Echanges autour de l’expérience de Thierry Bory : comment coopérer avec la collectivité pour une collecte efficiente des déchets ? </w:t>
      </w:r>
    </w:p>
    <w:p w14:paraId="771F00A9" w14:textId="77777777" w:rsidR="00EC5AAD" w:rsidRDefault="00EC5AAD" w:rsidP="00EC5AAD"/>
    <w:p w14:paraId="7B694189" w14:textId="77777777" w:rsidR="00EC5AAD" w:rsidRDefault="00EC5AAD" w:rsidP="00EC5AAD">
      <w:pPr>
        <w:jc w:val="both"/>
      </w:pPr>
      <w:r>
        <w:lastRenderedPageBreak/>
        <w:t>La société Ecodéchets Environnement ne répond qu’à des marchés publics. Le service est co-construit avec les usagers. La Société créée en 2014 est présente en région Grand Est et AURA et au 1</w:t>
      </w:r>
      <w:r w:rsidRPr="00EC5AAD">
        <w:rPr>
          <w:vertAlign w:val="superscript"/>
        </w:rPr>
        <w:t>er</w:t>
      </w:r>
      <w:r>
        <w:t xml:space="preserve"> janvier 2022, et comptera environ 300 collaborateurs et une quarantaine de collectivités clientes. </w:t>
      </w:r>
    </w:p>
    <w:p w14:paraId="10042593" w14:textId="77777777" w:rsidR="00EC5AAD" w:rsidRPr="00EC5AAD" w:rsidRDefault="00EC5AAD" w:rsidP="00EC5AAD"/>
    <w:p w14:paraId="0A22352C" w14:textId="77777777" w:rsidR="00BC7D8D" w:rsidRPr="00784522" w:rsidRDefault="00BC7D8D" w:rsidP="00E32413">
      <w:pPr>
        <w:rPr>
          <w:color w:val="0070C0"/>
          <w:sz w:val="24"/>
        </w:rPr>
      </w:pPr>
      <w:r w:rsidRPr="00784522">
        <w:rPr>
          <w:color w:val="0070C0"/>
          <w:sz w:val="24"/>
        </w:rPr>
        <w:t xml:space="preserve">Les spécificités des marchés publics de collecte de déchets </w:t>
      </w:r>
    </w:p>
    <w:p w14:paraId="5D5E985F" w14:textId="77777777" w:rsidR="0006336D" w:rsidRDefault="00BC7D8D" w:rsidP="0006336D">
      <w:pPr>
        <w:pStyle w:val="Paragraphedeliste"/>
        <w:numPr>
          <w:ilvl w:val="0"/>
          <w:numId w:val="6"/>
        </w:numPr>
      </w:pPr>
      <w:r>
        <w:t>D’une part, l</w:t>
      </w:r>
      <w:r w:rsidR="00E32413">
        <w:t xml:space="preserve">a </w:t>
      </w:r>
      <w:r w:rsidR="00E32413" w:rsidRPr="00784522">
        <w:rPr>
          <w:b/>
        </w:rPr>
        <w:t>collectivité décide de la fréquence de collecte, donne un territoire à collecter</w:t>
      </w:r>
      <w:r w:rsidR="00E32413">
        <w:t xml:space="preserve"> et les prestataires répondent avec un </w:t>
      </w:r>
      <w:r w:rsidR="00E32413" w:rsidRPr="00784522">
        <w:rPr>
          <w:b/>
        </w:rPr>
        <w:t>engagement plus de moyens que de résultats</w:t>
      </w:r>
      <w:r w:rsidR="00E32413">
        <w:t xml:space="preserve">. </w:t>
      </w:r>
    </w:p>
    <w:p w14:paraId="110867FB" w14:textId="77777777" w:rsidR="00E32413" w:rsidRDefault="00BC7D8D" w:rsidP="0006336D">
      <w:pPr>
        <w:pStyle w:val="Paragraphedeliste"/>
        <w:numPr>
          <w:ilvl w:val="0"/>
          <w:numId w:val="6"/>
        </w:numPr>
      </w:pPr>
      <w:r>
        <w:t xml:space="preserve">D’autre part, les marchés publics exigent une </w:t>
      </w:r>
      <w:r w:rsidRPr="00784522">
        <w:rPr>
          <w:b/>
        </w:rPr>
        <w:t>situation de concurrence</w:t>
      </w:r>
      <w:r>
        <w:t xml:space="preserve">. Les services spéciaux et innovants en situation de monopole doivent trouver des solutions pour ne pas rester en situation de monopole. Il est possible de créer une filiale pour pouvoir </w:t>
      </w:r>
      <w:r w:rsidR="00E32413">
        <w:t xml:space="preserve">faire un appel d’offre sur la partie amont </w:t>
      </w:r>
      <w:r w:rsidR="004E4E02">
        <w:t xml:space="preserve">de collecte </w:t>
      </w:r>
      <w:r w:rsidR="00E32413">
        <w:t>et un appel d’offre</w:t>
      </w:r>
      <w:r w:rsidR="004E4E02">
        <w:t xml:space="preserve"> sur la partie aval.</w:t>
      </w:r>
      <w:r w:rsidR="00E32413">
        <w:t xml:space="preserve"> </w:t>
      </w:r>
    </w:p>
    <w:p w14:paraId="0A89B824" w14:textId="77777777" w:rsidR="00784522" w:rsidRDefault="00784522" w:rsidP="00784522">
      <w:pPr>
        <w:pStyle w:val="Paragraphedeliste"/>
      </w:pPr>
    </w:p>
    <w:p w14:paraId="6069FA25" w14:textId="77777777" w:rsidR="0006336D" w:rsidRPr="00784522" w:rsidRDefault="0006336D" w:rsidP="00E32413">
      <w:pPr>
        <w:rPr>
          <w:color w:val="0070C0"/>
          <w:sz w:val="24"/>
        </w:rPr>
      </w:pPr>
      <w:r w:rsidRPr="00784522">
        <w:rPr>
          <w:color w:val="0070C0"/>
          <w:sz w:val="24"/>
        </w:rPr>
        <w:t xml:space="preserve">Les limites </w:t>
      </w:r>
      <w:r w:rsidR="00EC5AAD">
        <w:rPr>
          <w:color w:val="0070C0"/>
          <w:sz w:val="24"/>
        </w:rPr>
        <w:t xml:space="preserve">actuelles </w:t>
      </w:r>
      <w:r w:rsidRPr="00784522">
        <w:rPr>
          <w:color w:val="0070C0"/>
          <w:sz w:val="24"/>
        </w:rPr>
        <w:t>des marchés publics de collecte de déchets</w:t>
      </w:r>
    </w:p>
    <w:p w14:paraId="5CAE38B4" w14:textId="77777777" w:rsidR="0006336D" w:rsidRPr="005D07D7" w:rsidRDefault="006C69D7" w:rsidP="005D07D7">
      <w:pPr>
        <w:pStyle w:val="Paragraphedeliste"/>
        <w:numPr>
          <w:ilvl w:val="0"/>
          <w:numId w:val="5"/>
        </w:numPr>
        <w:rPr>
          <w:b/>
        </w:rPr>
      </w:pPr>
      <w:r w:rsidRPr="00EC5AAD">
        <w:t>Les collectivités ont des difficultés à pouvoir</w:t>
      </w:r>
      <w:r w:rsidRPr="00057AD7">
        <w:rPr>
          <w:b/>
        </w:rPr>
        <w:t xml:space="preserve"> comparer des offres quand elles sortent du cadre </w:t>
      </w:r>
      <w:r>
        <w:t xml:space="preserve">et </w:t>
      </w:r>
      <w:r w:rsidRPr="00EC5AAD">
        <w:t xml:space="preserve">ont peur </w:t>
      </w:r>
      <w:r w:rsidR="005D07D7" w:rsidRPr="00EC5AAD">
        <w:t>de voir leurs évaluations remises en cause.</w:t>
      </w:r>
      <w:r w:rsidR="005D07D7" w:rsidRPr="005D07D7">
        <w:rPr>
          <w:b/>
        </w:rPr>
        <w:t xml:space="preserve"> </w:t>
      </w:r>
      <w:r w:rsidR="005D07D7">
        <w:t xml:space="preserve">Le </w:t>
      </w:r>
      <w:r w:rsidR="005D07D7" w:rsidRPr="004E4E02">
        <w:rPr>
          <w:b/>
        </w:rPr>
        <w:t xml:space="preserve">sourcing permet de définir le besoin </w:t>
      </w:r>
      <w:r w:rsidR="00EC5AAD">
        <w:rPr>
          <w:b/>
        </w:rPr>
        <w:t>pour cadrer</w:t>
      </w:r>
      <w:r w:rsidR="005D07D7" w:rsidRPr="004E4E02">
        <w:rPr>
          <w:b/>
        </w:rPr>
        <w:t xml:space="preserve"> les marchés publics </w:t>
      </w:r>
      <w:r w:rsidR="00EC5AAD">
        <w:t>et garantir la pertinence des</w:t>
      </w:r>
      <w:r w:rsidR="005D07D7">
        <w:t xml:space="preserve"> propositions </w:t>
      </w:r>
      <w:r w:rsidR="00EC5AAD">
        <w:t xml:space="preserve">des fournisseurs. Il peut être pertinente d’ouvrir les marchés à des variantes, qui </w:t>
      </w:r>
      <w:r w:rsidR="00EC5AAD" w:rsidRPr="00E512C6">
        <w:t>laisse</w:t>
      </w:r>
      <w:r w:rsidR="00EC5AAD">
        <w:t>nt</w:t>
      </w:r>
      <w:r w:rsidR="00EC5AAD" w:rsidRPr="00E512C6">
        <w:t xml:space="preserve"> la possibilité aux candidats de proposer une solution alternative équivalente pour répondre au</w:t>
      </w:r>
      <w:r w:rsidR="00EC5AAD">
        <w:t xml:space="preserve"> </w:t>
      </w:r>
      <w:r w:rsidR="00EC5AAD" w:rsidRPr="00E512C6">
        <w:t>besoin</w:t>
      </w:r>
      <w:r w:rsidR="00EC5AAD">
        <w:t>.</w:t>
      </w:r>
    </w:p>
    <w:p w14:paraId="22C2345F" w14:textId="77777777" w:rsidR="0006336D" w:rsidRDefault="006C69D7" w:rsidP="0006336D">
      <w:pPr>
        <w:pStyle w:val="Paragraphedeliste"/>
        <w:numPr>
          <w:ilvl w:val="0"/>
          <w:numId w:val="5"/>
        </w:numPr>
      </w:pPr>
      <w:r w:rsidRPr="005D07D7">
        <w:rPr>
          <w:b/>
        </w:rPr>
        <w:t>Les plans progrès, sous l’aspect évaluation des offres sont difficiles à proposer.</w:t>
      </w:r>
      <w:r>
        <w:t xml:space="preserve"> Il apparait plus facile de les proposer autour de </w:t>
      </w:r>
      <w:r w:rsidR="0006336D">
        <w:t>dialogue</w:t>
      </w:r>
      <w:r>
        <w:t xml:space="preserve"> compétitif avec une idée de sortir des contrats de performance. Il faut faire </w:t>
      </w:r>
      <w:r w:rsidRPr="005D07D7">
        <w:rPr>
          <w:b/>
        </w:rPr>
        <w:t xml:space="preserve">attention à ce que ça ne devienne pas un </w:t>
      </w:r>
      <w:r w:rsidRPr="004E4E02">
        <w:rPr>
          <w:b/>
        </w:rPr>
        <w:t>nouveau cadre qui les empêche d’évoluer</w:t>
      </w:r>
      <w:r>
        <w:t xml:space="preserve"> par rapport à la durée du marché. Ce qui est très important c’est de pouvoir laisser la porte ouverte </w:t>
      </w:r>
      <w:r w:rsidR="005D07D7">
        <w:t>aux innovations.</w:t>
      </w:r>
      <w:r>
        <w:t xml:space="preserve"> </w:t>
      </w:r>
    </w:p>
    <w:p w14:paraId="4B877E3B" w14:textId="229F6583" w:rsidR="00917827" w:rsidRPr="00C00E85" w:rsidRDefault="006C69D7" w:rsidP="00E52F25">
      <w:pPr>
        <w:pStyle w:val="Paragraphedeliste"/>
        <w:numPr>
          <w:ilvl w:val="0"/>
          <w:numId w:val="5"/>
        </w:numPr>
        <w:rPr>
          <w:b/>
        </w:rPr>
      </w:pPr>
      <w:bookmarkStart w:id="0" w:name="_GoBack"/>
      <w:r>
        <w:t xml:space="preserve">Les clauses sociales sont aussi une problématique des marchés publics. </w:t>
      </w:r>
      <w:r w:rsidR="009076F9">
        <w:t>S</w:t>
      </w:r>
      <w:r>
        <w:t>i les entreprises vont au bout de l’i</w:t>
      </w:r>
      <w:r w:rsidR="00175325">
        <w:t>nsertion sociale, cela signifie</w:t>
      </w:r>
      <w:r>
        <w:t xml:space="preserve"> qu’elles embauchent ces personnes </w:t>
      </w:r>
      <w:r w:rsidR="00175325">
        <w:t xml:space="preserve">qui ne sont alors </w:t>
      </w:r>
      <w:r>
        <w:t xml:space="preserve">plus en insertion </w:t>
      </w:r>
      <w:r w:rsidR="00175325">
        <w:t xml:space="preserve">et donc </w:t>
      </w:r>
      <w:r w:rsidR="00917827">
        <w:t>l’entreprise ne respecte plus la clause d’insertion.</w:t>
      </w:r>
      <w:r w:rsidR="00E52F25" w:rsidRPr="00E52F25">
        <w:t xml:space="preserve"> </w:t>
      </w:r>
      <w:r w:rsidR="00C00E85" w:rsidRPr="00C00E85">
        <w:rPr>
          <w:b/>
        </w:rPr>
        <w:t>L’entreprise ne peut</w:t>
      </w:r>
      <w:r w:rsidR="00E52F25" w:rsidRPr="00C00E85">
        <w:rPr>
          <w:b/>
        </w:rPr>
        <w:t xml:space="preserve"> pas embaucher la personne ava</w:t>
      </w:r>
      <w:r w:rsidR="00C00E85" w:rsidRPr="00C00E85">
        <w:rPr>
          <w:b/>
        </w:rPr>
        <w:t>nt la fin du marché si elle veut respecter la clause d’insertion jusqu’au bout.</w:t>
      </w:r>
      <w:r w:rsidR="00C00E85">
        <w:rPr>
          <w:b/>
        </w:rPr>
        <w:t xml:space="preserve"> </w:t>
      </w:r>
      <w:r w:rsidR="00C00E85" w:rsidRPr="00C00E85">
        <w:rPr>
          <w:b/>
        </w:rPr>
        <w:t>Il faut faire attention à ce que les heures d’insertion sociale soient bien proportionnées par rapport aux heures du marché en lui-même.</w:t>
      </w:r>
    </w:p>
    <w:bookmarkEnd w:id="0"/>
    <w:p w14:paraId="6FC683DB" w14:textId="77777777" w:rsidR="00C103D7" w:rsidRDefault="009076F9" w:rsidP="00582928">
      <w:pPr>
        <w:pStyle w:val="Paragraphedeliste"/>
        <w:numPr>
          <w:ilvl w:val="0"/>
          <w:numId w:val="5"/>
        </w:numPr>
      </w:pPr>
      <w:r>
        <w:t xml:space="preserve">Une autre limite des marchés publics est la </w:t>
      </w:r>
      <w:r w:rsidRPr="004E4E02">
        <w:rPr>
          <w:b/>
        </w:rPr>
        <w:t>prédominance du critère quantitatif dans l’évaluation</w:t>
      </w:r>
      <w:r w:rsidR="00EC5AAD">
        <w:rPr>
          <w:b/>
        </w:rPr>
        <w:t>,</w:t>
      </w:r>
      <w:r>
        <w:t xml:space="preserve"> </w:t>
      </w:r>
      <w:r w:rsidRPr="004E4E02">
        <w:rPr>
          <w:b/>
        </w:rPr>
        <w:t>qui peut être contre-productif.</w:t>
      </w:r>
      <w:r>
        <w:t xml:space="preserve"> </w:t>
      </w:r>
    </w:p>
    <w:p w14:paraId="2DBD647E" w14:textId="77777777" w:rsidR="00C103D7" w:rsidRDefault="00C103D7" w:rsidP="00C103D7">
      <w:pPr>
        <w:pStyle w:val="Paragraphedeliste"/>
        <w:numPr>
          <w:ilvl w:val="1"/>
          <w:numId w:val="5"/>
        </w:numPr>
      </w:pPr>
      <w:r>
        <w:t>L</w:t>
      </w:r>
      <w:r w:rsidR="00EC5AAD">
        <w:t xml:space="preserve">a pondération </w:t>
      </w:r>
      <w:r w:rsidR="00EC5AAD" w:rsidRPr="00EC5AAD">
        <w:t>du</w:t>
      </w:r>
      <w:r w:rsidRPr="00EC5AAD">
        <w:t xml:space="preserve"> critère prix varie dans les règlements de consultation</w:t>
      </w:r>
      <w:r w:rsidR="009076F9" w:rsidRPr="00EC5AAD">
        <w:t xml:space="preserve"> selon les appels d’offre, entre 40%</w:t>
      </w:r>
      <w:r w:rsidR="009076F9">
        <w:t xml:space="preserve"> et 80%. </w:t>
      </w:r>
      <w:r w:rsidR="009076F9" w:rsidRPr="004E4E02">
        <w:rPr>
          <w:b/>
        </w:rPr>
        <w:t>Le critè</w:t>
      </w:r>
      <w:r w:rsidR="00EC5AAD">
        <w:rPr>
          <w:b/>
        </w:rPr>
        <w:t>re prix a</w:t>
      </w:r>
      <w:r w:rsidR="009076F9" w:rsidRPr="004E4E02">
        <w:rPr>
          <w:b/>
        </w:rPr>
        <w:t xml:space="preserve"> tendance à individualiser les prestations</w:t>
      </w:r>
      <w:r w:rsidR="00EC5AAD">
        <w:rPr>
          <w:b/>
        </w:rPr>
        <w:t>,</w:t>
      </w:r>
      <w:r w:rsidR="009076F9" w:rsidRPr="004E4E02">
        <w:rPr>
          <w:b/>
        </w:rPr>
        <w:t xml:space="preserve"> ce qui ce n’est pas efficient</w:t>
      </w:r>
      <w:r w:rsidR="009076F9">
        <w:t xml:space="preserve">. </w:t>
      </w:r>
      <w:r w:rsidR="009076F9" w:rsidRPr="00EC5AAD">
        <w:t xml:space="preserve">Il faudrait </w:t>
      </w:r>
      <w:r w:rsidR="009076F9" w:rsidRPr="004E4E02">
        <w:rPr>
          <w:b/>
        </w:rPr>
        <w:t>passer du</w:t>
      </w:r>
      <w:r w:rsidR="00EC5AAD">
        <w:rPr>
          <w:b/>
        </w:rPr>
        <w:t xml:space="preserve"> critère prix au critère budget</w:t>
      </w:r>
      <w:r w:rsidR="009076F9">
        <w:t xml:space="preserve">. </w:t>
      </w:r>
      <w:r w:rsidR="00EC5AAD">
        <w:t>Dans une optique d’amélioration continue, la collectivité ne vise n</w:t>
      </w:r>
      <w:r w:rsidR="009076F9">
        <w:t>on pas une baisse dans un mode coercitif</w:t>
      </w:r>
      <w:r w:rsidR="0098738E">
        <w:t>,</w:t>
      </w:r>
      <w:r w:rsidR="009076F9">
        <w:t xml:space="preserve"> mais </w:t>
      </w:r>
      <w:r w:rsidR="0098738E">
        <w:t>à créer un espace de</w:t>
      </w:r>
      <w:r w:rsidR="009076F9">
        <w:t xml:space="preserve"> coopération </w:t>
      </w:r>
      <w:r w:rsidR="0098738E">
        <w:t>autour de l’</w:t>
      </w:r>
      <w:r w:rsidR="009076F9">
        <w:t xml:space="preserve">objectif commun de réduire le budget dans de bonnes conditions. </w:t>
      </w:r>
    </w:p>
    <w:p w14:paraId="55C4FA08" w14:textId="77777777" w:rsidR="00C103D7" w:rsidRDefault="00C103D7" w:rsidP="00C103D7">
      <w:pPr>
        <w:pStyle w:val="Paragraphedeliste"/>
        <w:numPr>
          <w:ilvl w:val="1"/>
          <w:numId w:val="5"/>
        </w:numPr>
      </w:pPr>
      <w:r>
        <w:lastRenderedPageBreak/>
        <w:t>Le</w:t>
      </w:r>
      <w:r w:rsidR="009076F9">
        <w:t xml:space="preserve"> </w:t>
      </w:r>
      <w:r w:rsidR="009076F9" w:rsidRPr="00C103D7">
        <w:rPr>
          <w:b/>
        </w:rPr>
        <w:t>critère environnement</w:t>
      </w:r>
      <w:r w:rsidR="009076F9">
        <w:t xml:space="preserve"> </w:t>
      </w:r>
      <w:r>
        <w:t xml:space="preserve">est </w:t>
      </w:r>
      <w:r w:rsidR="0098738E">
        <w:t xml:space="preserve">généralement pondéré autour </w:t>
      </w:r>
      <w:r w:rsidR="009076F9">
        <w:t xml:space="preserve">de 10%. </w:t>
      </w:r>
      <w:r>
        <w:t xml:space="preserve">Il </w:t>
      </w:r>
      <w:r w:rsidR="009076F9">
        <w:t>est basé globalement sur les normes anti-pollu</w:t>
      </w:r>
      <w:r w:rsidR="0098738E">
        <w:t>tion des véhicules de collecte, ce qui semble limité.</w:t>
      </w:r>
    </w:p>
    <w:p w14:paraId="00B8F0F5" w14:textId="77777777" w:rsidR="006C69D7" w:rsidRDefault="00C103D7" w:rsidP="00C103D7">
      <w:pPr>
        <w:pStyle w:val="Paragraphedeliste"/>
        <w:numPr>
          <w:ilvl w:val="1"/>
          <w:numId w:val="5"/>
        </w:numPr>
      </w:pPr>
      <w:r>
        <w:t xml:space="preserve"> Le </w:t>
      </w:r>
      <w:r w:rsidRPr="00C103D7">
        <w:rPr>
          <w:b/>
        </w:rPr>
        <w:t>critère technique</w:t>
      </w:r>
      <w:r>
        <w:t xml:space="preserve"> est analysé</w:t>
      </w:r>
      <w:r w:rsidR="009076F9">
        <w:t xml:space="preserve"> s</w:t>
      </w:r>
      <w:r>
        <w:t>ur les moyens matériels</w:t>
      </w:r>
      <w:r w:rsidR="0098738E">
        <w:t xml:space="preserve"> déployés</w:t>
      </w:r>
      <w:r>
        <w:t>. Celui qui propose</w:t>
      </w:r>
      <w:r w:rsidR="009076F9">
        <w:t xml:space="preserve"> 15 camions est favorisé </w:t>
      </w:r>
      <w:r>
        <w:t>par rapport à l’entreprise qui n’en propose</w:t>
      </w:r>
      <w:r w:rsidR="0098738E">
        <w:t xml:space="preserve"> que 13. C’est paradoxal puisque cela pénalise les candidats assurant l’optimisation de leur flotte.</w:t>
      </w:r>
    </w:p>
    <w:p w14:paraId="520097A2" w14:textId="77777777" w:rsidR="005D07D7" w:rsidRDefault="005D07D7" w:rsidP="005D07D7">
      <w:pPr>
        <w:pStyle w:val="Paragraphedeliste"/>
      </w:pPr>
    </w:p>
    <w:p w14:paraId="7BC5F745" w14:textId="77777777" w:rsidR="00157D6E" w:rsidRPr="00FE4368" w:rsidRDefault="00157D6E" w:rsidP="00157D6E">
      <w:pPr>
        <w:rPr>
          <w:color w:val="0070C0"/>
          <w:sz w:val="24"/>
        </w:rPr>
      </w:pPr>
      <w:r w:rsidRPr="00FE4368">
        <w:rPr>
          <w:color w:val="0070C0"/>
          <w:sz w:val="24"/>
        </w:rPr>
        <w:t xml:space="preserve">Innover dans le service public des déchets ménagers en co-construisant le service avec les habitants </w:t>
      </w:r>
    </w:p>
    <w:p w14:paraId="74ABFA10" w14:textId="77777777" w:rsidR="00157D6E" w:rsidRDefault="00157D6E" w:rsidP="00157D6E">
      <w:r>
        <w:t>La</w:t>
      </w:r>
      <w:r w:rsidRPr="00BC7D8D">
        <w:t xml:space="preserve"> co</w:t>
      </w:r>
      <w:r>
        <w:t>-construction du service peut se faire</w:t>
      </w:r>
      <w:r w:rsidRPr="00BC7D8D">
        <w:t xml:space="preserve"> par l’intermédiaire</w:t>
      </w:r>
      <w:r>
        <w:t xml:space="preserve"> d’une plateforme où chaque habitant choisit son volume de bac et sa fréquence de collecte</w:t>
      </w:r>
      <w:r w:rsidR="0098738E">
        <w:t>,</w:t>
      </w:r>
      <w:r>
        <w:t xml:space="preserve"> afin de ne sortir que les moyens nécessaires à ces besoins-là. Généralement, ce système de contrat de redevance incitative permet d’aboutir rapidement à un nouvel équilibre</w:t>
      </w:r>
      <w:r w:rsidRPr="00FE4368">
        <w:rPr>
          <w:b/>
        </w:rPr>
        <w:t xml:space="preserve">. Cette co-construction se fait via un nouveau système économique </w:t>
      </w:r>
      <w:r w:rsidR="0098738E">
        <w:rPr>
          <w:b/>
        </w:rPr>
        <w:t>« </w:t>
      </w:r>
      <w:r w:rsidRPr="00FE4368">
        <w:rPr>
          <w:b/>
        </w:rPr>
        <w:t>B to B to you</w:t>
      </w:r>
      <w:r w:rsidR="0098738E">
        <w:rPr>
          <w:b/>
        </w:rPr>
        <w:t> »</w:t>
      </w:r>
      <w:r w:rsidRPr="00FE4368">
        <w:rPr>
          <w:b/>
        </w:rPr>
        <w:t xml:space="preserve"> en relation à la fois avec les collectivités et les usagers du service.</w:t>
      </w:r>
      <w:r w:rsidRPr="001F4976">
        <w:t xml:space="preserve"> </w:t>
      </w:r>
      <w:r>
        <w:t xml:space="preserve">Le </w:t>
      </w:r>
      <w:r w:rsidRPr="0098738E">
        <w:t>cadre de la participation des usagers est à définir par le prestataire et la collectivité</w:t>
      </w:r>
      <w:r w:rsidR="0098738E">
        <w:t>. E</w:t>
      </w:r>
      <w:r w:rsidRPr="004E4E02">
        <w:t>nsuite</w:t>
      </w:r>
      <w:r w:rsidR="0098738E">
        <w:t>,</w:t>
      </w:r>
      <w:r w:rsidRPr="004E4E02">
        <w:t xml:space="preserve"> l’usager </w:t>
      </w:r>
      <w:r w:rsidR="0098738E">
        <w:t>choisit les modalités de collecte</w:t>
      </w:r>
      <w:r w:rsidRPr="004E4E02">
        <w:t xml:space="preserve"> à l’intérieur de ce cadre-là</w:t>
      </w:r>
      <w:r>
        <w:t xml:space="preserve">. Cela induit, d’une part, une </w:t>
      </w:r>
      <w:r w:rsidRPr="00784522">
        <w:rPr>
          <w:b/>
        </w:rPr>
        <w:t>nécessité de</w:t>
      </w:r>
      <w:r>
        <w:t xml:space="preserve"> </w:t>
      </w:r>
      <w:r w:rsidRPr="00784522">
        <w:rPr>
          <w:b/>
        </w:rPr>
        <w:t>confiance</w:t>
      </w:r>
      <w:r>
        <w:t xml:space="preserve"> au sein de la relation tripartite et d’autre part </w:t>
      </w:r>
      <w:r w:rsidRPr="00784522">
        <w:rPr>
          <w:b/>
        </w:rPr>
        <w:t>une modification de la définition du besoin.</w:t>
      </w:r>
      <w:r>
        <w:t xml:space="preserve"> </w:t>
      </w:r>
    </w:p>
    <w:p w14:paraId="04A53C84" w14:textId="77777777" w:rsidR="00157D6E" w:rsidRDefault="00157D6E" w:rsidP="005D07D7">
      <w:pPr>
        <w:pStyle w:val="Paragraphedeliste"/>
      </w:pPr>
    </w:p>
    <w:p w14:paraId="520F3B71" w14:textId="77777777" w:rsidR="0092023F" w:rsidRPr="005D07D7" w:rsidRDefault="0092023F" w:rsidP="001F4976">
      <w:pPr>
        <w:rPr>
          <w:color w:val="0070C0"/>
          <w:sz w:val="24"/>
        </w:rPr>
      </w:pPr>
      <w:r w:rsidRPr="005D07D7">
        <w:rPr>
          <w:color w:val="0070C0"/>
          <w:sz w:val="24"/>
        </w:rPr>
        <w:t>Un changement de paradigme qui part de la définition du besoin et identifie en fonction le coût du se</w:t>
      </w:r>
      <w:r w:rsidR="0098738E">
        <w:rPr>
          <w:color w:val="0070C0"/>
          <w:sz w:val="24"/>
        </w:rPr>
        <w:t>rvice</w:t>
      </w:r>
    </w:p>
    <w:p w14:paraId="2D682D54" w14:textId="77777777" w:rsidR="00E32413" w:rsidRDefault="0092023F" w:rsidP="00E32413">
      <w:r>
        <w:t xml:space="preserve">L’objectif à moyen terme est </w:t>
      </w:r>
      <w:r w:rsidRPr="00911465">
        <w:rPr>
          <w:b/>
        </w:rPr>
        <w:t>d’évoluer d’une tarification incitative à une tarification au niveau des flux, de manière à responsabiliser l’habitant</w:t>
      </w:r>
      <w:r>
        <w:t xml:space="preserve"> et lui faire </w:t>
      </w:r>
      <w:r w:rsidR="0098738E">
        <w:t xml:space="preserve">comprendre que chaque service a </w:t>
      </w:r>
      <w:r>
        <w:t>un coût.</w:t>
      </w:r>
      <w:r w:rsidR="00BD48A5">
        <w:t xml:space="preserve"> Cela consiste à </w:t>
      </w:r>
      <w:r w:rsidR="00BD48A5" w:rsidRPr="00BD48A5">
        <w:rPr>
          <w:b/>
        </w:rPr>
        <w:t>définir</w:t>
      </w:r>
      <w:r w:rsidR="00E32413" w:rsidRPr="00911465">
        <w:rPr>
          <w:b/>
        </w:rPr>
        <w:t xml:space="preserve"> son besoin </w:t>
      </w:r>
      <w:r w:rsidR="00BD48A5">
        <w:rPr>
          <w:b/>
        </w:rPr>
        <w:t xml:space="preserve">dans un premier temps </w:t>
      </w:r>
      <w:r w:rsidR="00E32413" w:rsidRPr="00911465">
        <w:rPr>
          <w:b/>
        </w:rPr>
        <w:t xml:space="preserve">et </w:t>
      </w:r>
      <w:r w:rsidR="00175325">
        <w:rPr>
          <w:b/>
        </w:rPr>
        <w:t xml:space="preserve">ensuite </w:t>
      </w:r>
      <w:r w:rsidR="00BD48A5">
        <w:rPr>
          <w:b/>
        </w:rPr>
        <w:t xml:space="preserve">à </w:t>
      </w:r>
      <w:r w:rsidR="00E32413" w:rsidRPr="00911465">
        <w:rPr>
          <w:b/>
        </w:rPr>
        <w:t>identifier en fonction le coût du service</w:t>
      </w:r>
      <w:r w:rsidR="00E32413">
        <w:t xml:space="preserve">. C’est disruptif par rapport à la collecte des déchets que l’on connait. En fonction du taux de refus, la collecte est plus ou moins chère. Une collectivité qui aurait un taux de refus </w:t>
      </w:r>
      <w:r w:rsidR="0098738E">
        <w:t xml:space="preserve">en croissance </w:t>
      </w:r>
      <w:r w:rsidR="00E32413">
        <w:t xml:space="preserve">pourrait augmenter </w:t>
      </w:r>
      <w:r w:rsidR="0098738E">
        <w:t>le</w:t>
      </w:r>
      <w:r w:rsidR="00E32413">
        <w:t xml:space="preserve"> prix sur le flux des emballages et ne pas toucher à </w:t>
      </w:r>
      <w:r w:rsidR="0098738E">
        <w:t xml:space="preserve">celui des </w:t>
      </w:r>
      <w:r w:rsidR="00E32413">
        <w:t>ordure</w:t>
      </w:r>
      <w:r w:rsidR="0098738E">
        <w:t>s</w:t>
      </w:r>
      <w:r w:rsidR="00E32413">
        <w:t xml:space="preserve"> ménagère</w:t>
      </w:r>
      <w:r w:rsidR="0098738E">
        <w:t>s</w:t>
      </w:r>
      <w:r w:rsidR="00E32413">
        <w:t xml:space="preserve"> résiduelle</w:t>
      </w:r>
      <w:r w:rsidR="0098738E">
        <w:t>s</w:t>
      </w:r>
      <w:r w:rsidR="00E32413">
        <w:t xml:space="preserve">. </w:t>
      </w:r>
    </w:p>
    <w:p w14:paraId="109FA9BD" w14:textId="77777777" w:rsidR="00FA3E53" w:rsidRDefault="00FA3E53" w:rsidP="00E32413"/>
    <w:p w14:paraId="583F704E" w14:textId="77777777" w:rsidR="0092023F" w:rsidRPr="00911465" w:rsidRDefault="0092023F" w:rsidP="00E32413">
      <w:pPr>
        <w:rPr>
          <w:color w:val="0070C0"/>
          <w:sz w:val="24"/>
        </w:rPr>
      </w:pPr>
      <w:r w:rsidRPr="00911465">
        <w:rPr>
          <w:color w:val="0070C0"/>
          <w:sz w:val="24"/>
        </w:rPr>
        <w:t>Un marché public qui évolue, expérimente et s</w:t>
      </w:r>
      <w:r w:rsidR="0098738E">
        <w:rPr>
          <w:color w:val="0070C0"/>
          <w:sz w:val="24"/>
        </w:rPr>
        <w:t xml:space="preserve">’adapte : </w:t>
      </w:r>
      <w:r w:rsidR="006676E2">
        <w:rPr>
          <w:color w:val="0070C0"/>
          <w:sz w:val="24"/>
        </w:rPr>
        <w:t>u</w:t>
      </w:r>
      <w:r w:rsidRPr="00911465">
        <w:rPr>
          <w:color w:val="0070C0"/>
          <w:sz w:val="24"/>
        </w:rPr>
        <w:t xml:space="preserve">n concept </w:t>
      </w:r>
      <w:r w:rsidR="0098738E">
        <w:rPr>
          <w:color w:val="0070C0"/>
          <w:sz w:val="24"/>
        </w:rPr>
        <w:t xml:space="preserve">novateur pour </w:t>
      </w:r>
      <w:r w:rsidRPr="00911465">
        <w:rPr>
          <w:color w:val="0070C0"/>
          <w:sz w:val="24"/>
        </w:rPr>
        <w:t>les collectivités</w:t>
      </w:r>
    </w:p>
    <w:p w14:paraId="14C44677" w14:textId="77777777" w:rsidR="009839EE" w:rsidRDefault="0092023F" w:rsidP="00E32413">
      <w:r w:rsidRPr="0098738E">
        <w:t>Les entreprises rencontrent des difficultés à faire évoluer les marchés</w:t>
      </w:r>
      <w:r w:rsidR="0098738E" w:rsidRPr="0098738E">
        <w:t>,</w:t>
      </w:r>
      <w:r w:rsidRPr="0098738E">
        <w:t xml:space="preserve"> car </w:t>
      </w:r>
      <w:r w:rsidRPr="00911465">
        <w:rPr>
          <w:b/>
        </w:rPr>
        <w:t>les collectivités</w:t>
      </w:r>
      <w:r w:rsidR="0098738E">
        <w:rPr>
          <w:b/>
        </w:rPr>
        <w:t xml:space="preserve"> associent souvent </w:t>
      </w:r>
      <w:r w:rsidR="0098738E" w:rsidRPr="00911465">
        <w:rPr>
          <w:b/>
        </w:rPr>
        <w:t xml:space="preserve">les avenants supplémentaires </w:t>
      </w:r>
      <w:r w:rsidR="0098738E">
        <w:rPr>
          <w:b/>
        </w:rPr>
        <w:t xml:space="preserve">à une </w:t>
      </w:r>
      <w:r w:rsidR="0098738E" w:rsidRPr="00911465">
        <w:rPr>
          <w:b/>
        </w:rPr>
        <w:t>augmentation des tarifs</w:t>
      </w:r>
      <w:r w:rsidRPr="0092023F">
        <w:t xml:space="preserve">. </w:t>
      </w:r>
      <w:r>
        <w:t xml:space="preserve">C’est dommage </w:t>
      </w:r>
      <w:r w:rsidR="00E94F57">
        <w:t xml:space="preserve">car </w:t>
      </w:r>
      <w:r w:rsidR="00CC3D5C">
        <w:t xml:space="preserve">cette perception limite la mutabilité du service public. </w:t>
      </w:r>
      <w:r w:rsidR="00963EDA" w:rsidRPr="00963EDA">
        <w:t>La mise en œuvre de service</w:t>
      </w:r>
      <w:r w:rsidR="00BD48A5">
        <w:t>s</w:t>
      </w:r>
      <w:r w:rsidR="00963EDA" w:rsidRPr="00963EDA">
        <w:t xml:space="preserve"> innovant</w:t>
      </w:r>
      <w:r w:rsidR="00BD48A5">
        <w:t>s</w:t>
      </w:r>
      <w:r w:rsidR="00963EDA" w:rsidRPr="00963EDA">
        <w:t xml:space="preserve"> nécessite</w:t>
      </w:r>
      <w:r w:rsidR="00963EDA">
        <w:rPr>
          <w:b/>
        </w:rPr>
        <w:t xml:space="preserve"> </w:t>
      </w:r>
      <w:r w:rsidR="00963EDA" w:rsidRPr="00963EDA">
        <w:t>d</w:t>
      </w:r>
      <w:r w:rsidR="00963EDA">
        <w:t xml:space="preserve">es élus, des agents et une direction des services qui sont sensibles à l’innovation. </w:t>
      </w:r>
      <w:r w:rsidR="00CC3D5C" w:rsidRPr="00911465">
        <w:rPr>
          <w:b/>
        </w:rPr>
        <w:t>I</w:t>
      </w:r>
      <w:r w:rsidRPr="00911465">
        <w:rPr>
          <w:b/>
        </w:rPr>
        <w:t xml:space="preserve">l est possible de </w:t>
      </w:r>
      <w:r w:rsidR="0098738E">
        <w:rPr>
          <w:b/>
        </w:rPr>
        <w:t xml:space="preserve">réaliser des </w:t>
      </w:r>
      <w:r w:rsidRPr="00911465">
        <w:rPr>
          <w:b/>
        </w:rPr>
        <w:t xml:space="preserve">avenants sur une </w:t>
      </w:r>
      <w:r w:rsidR="00CC3D5C" w:rsidRPr="00911465">
        <w:rPr>
          <w:b/>
        </w:rPr>
        <w:t>adaptation</w:t>
      </w:r>
      <w:r w:rsidR="009839EE">
        <w:rPr>
          <w:b/>
        </w:rPr>
        <w:t xml:space="preserve"> du marché afin</w:t>
      </w:r>
      <w:r w:rsidRPr="00911465">
        <w:rPr>
          <w:b/>
        </w:rPr>
        <w:t xml:space="preserve"> de l’améliorer</w:t>
      </w:r>
      <w:r w:rsidR="009839EE">
        <w:t xml:space="preserve">, sans augmentation des </w:t>
      </w:r>
      <w:r w:rsidR="009839EE">
        <w:lastRenderedPageBreak/>
        <w:t>tarifs</w:t>
      </w:r>
      <w:r>
        <w:t xml:space="preserve">. </w:t>
      </w:r>
      <w:r w:rsidR="00D51A84">
        <w:t xml:space="preserve">Les entreprises peuvent </w:t>
      </w:r>
      <w:r w:rsidRPr="00911465">
        <w:rPr>
          <w:b/>
        </w:rPr>
        <w:t>expérimenter et modifier l’</w:t>
      </w:r>
      <w:r w:rsidR="00CC3D5C" w:rsidRPr="00911465">
        <w:rPr>
          <w:b/>
        </w:rPr>
        <w:t>expérimentation en fonction du retour d’expérience des usagers.</w:t>
      </w:r>
      <w:r w:rsidR="00D51A84">
        <w:t xml:space="preserve"> Par exemple</w:t>
      </w:r>
      <w:r w:rsidR="009839EE">
        <w:t>, dans le cas des déchets,</w:t>
      </w:r>
      <w:r w:rsidR="00D51A84">
        <w:t xml:space="preserve"> elles peuvent</w:t>
      </w:r>
      <w:r w:rsidR="00CC3D5C">
        <w:t xml:space="preserve"> se rendre compte que les déchetteries mobiles ne sont pas adaptées, supprimer ce service et augmenter à la place les horaires des déchèteries fixes</w:t>
      </w:r>
      <w:r w:rsidR="00963EDA">
        <w:t xml:space="preserve">. </w:t>
      </w:r>
      <w:r w:rsidR="00D51A84">
        <w:t xml:space="preserve">Elles peuvent </w:t>
      </w:r>
      <w:r w:rsidR="00963EDA">
        <w:t>aussi réduire la fréquence de collecte en porte-à-porte s</w:t>
      </w:r>
      <w:r w:rsidR="00BD48A5">
        <w:t>uite à la mise en place de points d’apport volontaire</w:t>
      </w:r>
      <w:r w:rsidR="009839EE">
        <w:t>,</w:t>
      </w:r>
      <w:r w:rsidR="00BD48A5">
        <w:t xml:space="preserve"> ce qui entraine la soumission d’un</w:t>
      </w:r>
      <w:r w:rsidR="00B95724">
        <w:t xml:space="preserve"> avena</w:t>
      </w:r>
      <w:r w:rsidR="00BD48A5">
        <w:t xml:space="preserve">nt en réduction </w:t>
      </w:r>
      <w:r w:rsidR="00B95724">
        <w:t xml:space="preserve">par rapport à l’appel d’offre initial. </w:t>
      </w:r>
      <w:r w:rsidR="00D51A84">
        <w:t>Elles peuvent</w:t>
      </w:r>
      <w:r w:rsidR="00963EDA">
        <w:t xml:space="preserve"> aussi collecter les déchets avec des camions bi-compartimentés ou les </w:t>
      </w:r>
      <w:r w:rsidR="00963EDA" w:rsidRPr="009839EE">
        <w:t xml:space="preserve">collecter de manière séparée avec plusieurs camions. </w:t>
      </w:r>
      <w:r w:rsidR="00B95724" w:rsidRPr="009839EE">
        <w:t>Pour mettre en œuvre ces modifications</w:t>
      </w:r>
      <w:r w:rsidR="009839EE" w:rsidRPr="009839EE">
        <w:t>,</w:t>
      </w:r>
      <w:r w:rsidR="00B95724" w:rsidRPr="00911465">
        <w:rPr>
          <w:b/>
        </w:rPr>
        <w:t xml:space="preserve"> </w:t>
      </w:r>
      <w:r w:rsidR="00D51A84">
        <w:rPr>
          <w:b/>
        </w:rPr>
        <w:t xml:space="preserve">les entreprises peuvent </w:t>
      </w:r>
      <w:r w:rsidR="00B95724" w:rsidRPr="00911465">
        <w:rPr>
          <w:b/>
        </w:rPr>
        <w:t xml:space="preserve">proposer un plan de progrès à la collectivité en </w:t>
      </w:r>
      <w:r w:rsidR="009839EE">
        <w:rPr>
          <w:b/>
        </w:rPr>
        <w:t xml:space="preserve">s’engageant à </w:t>
      </w:r>
      <w:r w:rsidR="00B95724" w:rsidRPr="00911465">
        <w:rPr>
          <w:b/>
        </w:rPr>
        <w:t>analyser les</w:t>
      </w:r>
      <w:r w:rsidR="009839EE">
        <w:rPr>
          <w:b/>
        </w:rPr>
        <w:t xml:space="preserve"> résultats du plan de collecte et à proposer des pistes d’amélioration en conséquence. </w:t>
      </w:r>
    </w:p>
    <w:p w14:paraId="48D00CCF" w14:textId="77777777" w:rsidR="00963EDA" w:rsidRPr="00157D6E" w:rsidRDefault="009839EE" w:rsidP="00E32413">
      <w:pPr>
        <w:rPr>
          <w:b/>
          <w:sz w:val="24"/>
        </w:rPr>
      </w:pPr>
      <w:r>
        <w:t xml:space="preserve">D’une collectivité à l’autre, la manière de prendre en charge la sensibilisation des habitants, la sensibilisation des élus, la coopération est variable. </w:t>
      </w:r>
      <w:r w:rsidR="00B95724" w:rsidRPr="009839EE">
        <w:t xml:space="preserve">La recherche d’efficience peut être vécue comme une diminution de service et requière ainsi </w:t>
      </w:r>
      <w:r w:rsidR="00B95724" w:rsidRPr="00911465">
        <w:rPr>
          <w:b/>
        </w:rPr>
        <w:t>un accompagnement et un argumentaire solide</w:t>
      </w:r>
      <w:r w:rsidR="00B95724">
        <w:t xml:space="preserve"> sur l’intérêt de ne pas faire tourner des camions </w:t>
      </w:r>
      <w:r>
        <w:t>inutilement grâce à l’EFC</w:t>
      </w:r>
      <w:r w:rsidR="00B95724">
        <w:t xml:space="preserve">. </w:t>
      </w:r>
      <w:r>
        <w:t xml:space="preserve">Dans ce sens, l’EFC va plus </w:t>
      </w:r>
      <w:r w:rsidRPr="009839EE">
        <w:t>loin que</w:t>
      </w:r>
      <w:r w:rsidR="00157D6E" w:rsidRPr="009839EE">
        <w:t xml:space="preserve"> l’amélioration continue. Dans l’amélioration continue le service reste stable alors que là le service s’adapte au besoin qui n’est pas réglé en avance.  Il y a une </w:t>
      </w:r>
      <w:r w:rsidR="00157D6E" w:rsidRPr="009839EE">
        <w:rPr>
          <w:b/>
        </w:rPr>
        <w:t>évolution du périmètre du service à partir de l’usage</w:t>
      </w:r>
      <w:r w:rsidR="00157D6E" w:rsidRPr="009839EE">
        <w:t>.</w:t>
      </w:r>
      <w:r w:rsidR="00157D6E">
        <w:t xml:space="preserve"> </w:t>
      </w:r>
    </w:p>
    <w:p w14:paraId="70884946" w14:textId="77777777" w:rsidR="00911465" w:rsidRDefault="00911465" w:rsidP="00E32413"/>
    <w:p w14:paraId="376FE7BC" w14:textId="77777777" w:rsidR="00B95724" w:rsidRPr="00911465" w:rsidRDefault="006C3768" w:rsidP="00E32413">
      <w:pPr>
        <w:rPr>
          <w:color w:val="0070C0"/>
          <w:sz w:val="24"/>
        </w:rPr>
      </w:pPr>
      <w:r>
        <w:rPr>
          <w:color w:val="0070C0"/>
          <w:sz w:val="24"/>
        </w:rPr>
        <w:t>Faire payer</w:t>
      </w:r>
      <w:r w:rsidR="00175325">
        <w:rPr>
          <w:color w:val="0070C0"/>
          <w:sz w:val="24"/>
        </w:rPr>
        <w:t xml:space="preserve"> le coût d’utilisation du service à travers la redevance incitative </w:t>
      </w:r>
      <w:r w:rsidR="00B95724" w:rsidRPr="00911465">
        <w:rPr>
          <w:color w:val="0070C0"/>
          <w:sz w:val="24"/>
        </w:rPr>
        <w:t>permet de responsabiliser l’</w:t>
      </w:r>
      <w:r w:rsidR="00175325">
        <w:rPr>
          <w:color w:val="0070C0"/>
          <w:sz w:val="24"/>
        </w:rPr>
        <w:t xml:space="preserve">habitant </w:t>
      </w:r>
      <w:r w:rsidR="00454543" w:rsidRPr="00911465">
        <w:rPr>
          <w:color w:val="0070C0"/>
          <w:sz w:val="24"/>
        </w:rPr>
        <w:t xml:space="preserve"> </w:t>
      </w:r>
    </w:p>
    <w:p w14:paraId="5B19E0F3" w14:textId="77777777" w:rsidR="00454543" w:rsidRPr="00F420C1" w:rsidRDefault="009839EE" w:rsidP="00E32413">
      <w:pPr>
        <w:rPr>
          <w:b/>
        </w:rPr>
      </w:pPr>
      <w:r>
        <w:t xml:space="preserve">Aujourd’hui, deux flux financiers cohabitent : </w:t>
      </w:r>
      <w:r w:rsidR="00E32413">
        <w:t>la tarification entre la collectivité et ses habitants/usagers et la tarification entre le prestataire et l</w:t>
      </w:r>
      <w:r w:rsidR="00454543">
        <w:t xml:space="preserve">a collectivité. </w:t>
      </w:r>
      <w:r>
        <w:t>S</w:t>
      </w:r>
      <w:r w:rsidR="00E32413">
        <w:t>e pose l</w:t>
      </w:r>
      <w:r>
        <w:t xml:space="preserve">a question de savoir comment passer d’un prix du marché à un </w:t>
      </w:r>
      <w:r w:rsidR="00E32413">
        <w:t>coû</w:t>
      </w:r>
      <w:r>
        <w:t>t d’utilisation du service ? Cela nécessite de concevoir</w:t>
      </w:r>
      <w:r w:rsidR="00E32413" w:rsidRPr="00F420C1">
        <w:rPr>
          <w:b/>
        </w:rPr>
        <w:t xml:space="preserve"> des objectifs communs de réduction des déchets</w:t>
      </w:r>
      <w:r w:rsidR="00E32413">
        <w:t xml:space="preserve">. </w:t>
      </w:r>
      <w:r w:rsidR="00E32413" w:rsidRPr="00F420C1">
        <w:rPr>
          <w:b/>
        </w:rPr>
        <w:t xml:space="preserve">L’entreprise </w:t>
      </w:r>
      <w:r w:rsidR="00454543" w:rsidRPr="00F420C1">
        <w:rPr>
          <w:b/>
        </w:rPr>
        <w:t xml:space="preserve">peut s’engager sur des objectifs </w:t>
      </w:r>
      <w:r w:rsidR="00E32413" w:rsidRPr="00F420C1">
        <w:rPr>
          <w:b/>
        </w:rPr>
        <w:t>de réduction des ordures ménagèr</w:t>
      </w:r>
      <w:r w:rsidR="00454543" w:rsidRPr="00F420C1">
        <w:rPr>
          <w:b/>
        </w:rPr>
        <w:t>es</w:t>
      </w:r>
      <w:r>
        <w:rPr>
          <w:b/>
        </w:rPr>
        <w:t>,</w:t>
      </w:r>
      <w:r w:rsidR="00454543" w:rsidRPr="00F420C1">
        <w:rPr>
          <w:b/>
        </w:rPr>
        <w:t xml:space="preserve"> sans que la partie des déchets recyclables augmente</w:t>
      </w:r>
      <w:r w:rsidR="00454543">
        <w:t xml:space="preserve">. </w:t>
      </w:r>
      <w:r w:rsidR="00E32413">
        <w:t>Quand on met en place l</w:t>
      </w:r>
      <w:r w:rsidR="00157D6E">
        <w:t>a redevance incitative</w:t>
      </w:r>
      <w:r w:rsidR="006676E2">
        <w:t>,</w:t>
      </w:r>
      <w:r w:rsidR="00157D6E">
        <w:t xml:space="preserve"> les usagers </w:t>
      </w:r>
      <w:r w:rsidR="00E32413">
        <w:t xml:space="preserve">font du compostage individuel et cela c’est une diminution de l’ordre de 20 à 30% des tonnages. </w:t>
      </w:r>
      <w:r w:rsidR="00454543" w:rsidRPr="00F420C1">
        <w:rPr>
          <w:b/>
        </w:rPr>
        <w:t>Par la redevance incitative</w:t>
      </w:r>
      <w:r>
        <w:rPr>
          <w:b/>
        </w:rPr>
        <w:t>,</w:t>
      </w:r>
      <w:r w:rsidR="00454543" w:rsidRPr="00F420C1">
        <w:rPr>
          <w:b/>
        </w:rPr>
        <w:t xml:space="preserve"> on fait comprendre à l’usager que ses déchets ont un coût</w:t>
      </w:r>
      <w:r w:rsidR="00454543">
        <w:t xml:space="preserve">. </w:t>
      </w:r>
      <w:r w:rsidR="00454543" w:rsidRPr="009839EE">
        <w:t xml:space="preserve">La mise en place de la redevance incitative se traduit très rapidement par une baisse des déchets </w:t>
      </w:r>
      <w:r>
        <w:t>de 30 à 40%. Aujourd’hui, 8</w:t>
      </w:r>
      <w:r w:rsidR="00454543" w:rsidRPr="009839EE">
        <w:t xml:space="preserve">% des collectivités </w:t>
      </w:r>
      <w:r>
        <w:t>appliquent la</w:t>
      </w:r>
      <w:r w:rsidR="00454543" w:rsidRPr="009839EE">
        <w:t xml:space="preserve"> redevance incitative au niveau national. Cette politique tarifaire viendrait accompagner la politique de prévention des </w:t>
      </w:r>
      <w:r>
        <w:t>déchets</w:t>
      </w:r>
      <w:r w:rsidR="00454543" w:rsidRPr="009839EE">
        <w:t>.</w:t>
      </w:r>
    </w:p>
    <w:p w14:paraId="0AD7B953" w14:textId="77777777" w:rsidR="00911465" w:rsidRDefault="00911465" w:rsidP="00E32413"/>
    <w:p w14:paraId="10ED5FF9" w14:textId="77777777" w:rsidR="009076F9" w:rsidRDefault="009076F9" w:rsidP="00E32413">
      <w:pPr>
        <w:rPr>
          <w:color w:val="0070C0"/>
          <w:sz w:val="24"/>
        </w:rPr>
      </w:pPr>
      <w:r w:rsidRPr="00911465">
        <w:rPr>
          <w:color w:val="0070C0"/>
          <w:sz w:val="24"/>
        </w:rPr>
        <w:t xml:space="preserve">Créer des temps d’échanges avec la collectivité pour faire évoluer les performances d’usage </w:t>
      </w:r>
    </w:p>
    <w:p w14:paraId="7D879D7C" w14:textId="77777777" w:rsidR="009839EE" w:rsidRDefault="00157D6E">
      <w:r w:rsidRPr="009839EE">
        <w:rPr>
          <w:b/>
        </w:rPr>
        <w:t>Les réunions avec la collectivité sont essentielles, ce sont les moyens de la coopération.</w:t>
      </w:r>
      <w:r w:rsidRPr="009839EE">
        <w:t xml:space="preserve"> Par exemple, d</w:t>
      </w:r>
      <w:r w:rsidR="00B63D55" w:rsidRPr="009839EE">
        <w:t xml:space="preserve">es </w:t>
      </w:r>
      <w:r w:rsidR="00E32413" w:rsidRPr="009839EE">
        <w:t>réunions hebdomadaires avec le responsable de</w:t>
      </w:r>
      <w:r w:rsidRPr="009839EE">
        <w:t>s</w:t>
      </w:r>
      <w:r w:rsidR="00E32413" w:rsidRPr="009839EE">
        <w:t xml:space="preserve"> march</w:t>
      </w:r>
      <w:r w:rsidRPr="009839EE">
        <w:t>és publics</w:t>
      </w:r>
      <w:r w:rsidR="00175325" w:rsidRPr="009839EE">
        <w:t xml:space="preserve"> et</w:t>
      </w:r>
      <w:r w:rsidRPr="009839EE">
        <w:t xml:space="preserve"> avec les services de gestion, </w:t>
      </w:r>
      <w:r w:rsidR="00E32413" w:rsidRPr="009839EE">
        <w:t>des réunions mensuelles</w:t>
      </w:r>
      <w:r w:rsidR="00175325" w:rsidRPr="009839EE">
        <w:t xml:space="preserve"> avec les directions ainsi que</w:t>
      </w:r>
      <w:r w:rsidR="00E32413" w:rsidRPr="009839EE">
        <w:t xml:space="preserve"> des réunions annuelles stratégiques avec les élus</w:t>
      </w:r>
      <w:r w:rsidR="00B63D55" w:rsidRPr="009839EE">
        <w:t xml:space="preserve"> sont importantes</w:t>
      </w:r>
      <w:r w:rsidRPr="009839EE">
        <w:t xml:space="preserve">. </w:t>
      </w:r>
      <w:r w:rsidR="00B63D55" w:rsidRPr="009839EE">
        <w:t>I</w:t>
      </w:r>
      <w:r w:rsidR="00E32413" w:rsidRPr="009839EE">
        <w:t xml:space="preserve">l reste du chemin à parcourir sur la mise en œuvre de cette </w:t>
      </w:r>
      <w:r w:rsidR="00E32413" w:rsidRPr="009839EE">
        <w:lastRenderedPageBreak/>
        <w:t>coopération, du sui</w:t>
      </w:r>
      <w:r w:rsidR="00D345FA" w:rsidRPr="009839EE">
        <w:t xml:space="preserve">vi de la réalisation du marché, des moyens </w:t>
      </w:r>
      <w:r w:rsidR="009839EE">
        <w:t>mobilisés</w:t>
      </w:r>
      <w:r w:rsidR="00E32413" w:rsidRPr="009839EE">
        <w:t xml:space="preserve"> e</w:t>
      </w:r>
      <w:r w:rsidR="00D345FA" w:rsidRPr="009839EE">
        <w:t>t de la manière de trouver des solutions</w:t>
      </w:r>
      <w:r w:rsidR="00E32413" w:rsidRPr="009839EE">
        <w:t xml:space="preserve">. </w:t>
      </w:r>
    </w:p>
    <w:p w14:paraId="56B18991" w14:textId="77777777" w:rsidR="001B618C" w:rsidRPr="009839EE" w:rsidRDefault="00674895">
      <w:r w:rsidRPr="009839EE">
        <w:rPr>
          <w:b/>
        </w:rPr>
        <w:t>L’enjeu de la coopération repose aussi sur des formes d’organisation du travail qui permettent d’avoir des espaces de délibération sur les modalités de coopération.</w:t>
      </w:r>
      <w:r w:rsidRPr="009839EE">
        <w:t xml:space="preserve"> </w:t>
      </w:r>
      <w:r w:rsidR="00E32413" w:rsidRPr="009839EE">
        <w:t>En ne créant pas de temps d’échange</w:t>
      </w:r>
      <w:r w:rsidR="00F420C1" w:rsidRPr="009839EE">
        <w:t>s</w:t>
      </w:r>
      <w:r w:rsidR="00E32413" w:rsidRPr="009839EE">
        <w:t xml:space="preserve"> entre la collectivité et le prestataire pendant la durée du contrat</w:t>
      </w:r>
      <w:r w:rsidR="00BD48A5" w:rsidRPr="009839EE">
        <w:t>,</w:t>
      </w:r>
      <w:r w:rsidR="009839EE">
        <w:t xml:space="preserve"> la collectivité</w:t>
      </w:r>
      <w:r w:rsidR="00E32413" w:rsidRPr="009839EE">
        <w:t xml:space="preserve"> se prive de faire évoluer l</w:t>
      </w:r>
      <w:r w:rsidR="00B63D55" w:rsidRPr="009839EE">
        <w:t>a performance d’usage</w:t>
      </w:r>
      <w:r w:rsidR="009839EE">
        <w:t>,</w:t>
      </w:r>
      <w:r w:rsidR="00B63D55" w:rsidRPr="009839EE">
        <w:t xml:space="preserve"> alors même que ce domaine est très </w:t>
      </w:r>
      <w:r w:rsidR="009839EE">
        <w:t>mobile</w:t>
      </w:r>
      <w:r w:rsidR="00B63D55" w:rsidRPr="009839EE">
        <w:t xml:space="preserve"> d’un point de vue technique et règlementaire. Les plans de progrès </w:t>
      </w:r>
      <w:r w:rsidR="009839EE">
        <w:t>démontrent</w:t>
      </w:r>
      <w:r w:rsidR="00B63D55" w:rsidRPr="009839EE">
        <w:t xml:space="preserve"> le besoin </w:t>
      </w:r>
      <w:r w:rsidR="00E32413" w:rsidRPr="009839EE">
        <w:t>d’é</w:t>
      </w:r>
      <w:r w:rsidR="00B63D55" w:rsidRPr="009839EE">
        <w:t xml:space="preserve">laborer une méthodologie </w:t>
      </w:r>
      <w:r w:rsidR="00E32413" w:rsidRPr="009839EE">
        <w:t xml:space="preserve">partagée sur les moyens mis au </w:t>
      </w:r>
      <w:r w:rsidR="00B63D55" w:rsidRPr="009839EE">
        <w:t xml:space="preserve">service de la coopération et de son organisation. </w:t>
      </w:r>
      <w:r w:rsidR="00E32413" w:rsidRPr="009839EE">
        <w:t xml:space="preserve"> </w:t>
      </w:r>
    </w:p>
    <w:sectPr w:rsidR="001B618C" w:rsidRPr="009839EE" w:rsidSect="00EC5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AC46" w14:textId="77777777" w:rsidR="00C61403" w:rsidRDefault="00C61403" w:rsidP="00EC5AAD">
      <w:pPr>
        <w:spacing w:after="0" w:line="240" w:lineRule="auto"/>
      </w:pPr>
      <w:r>
        <w:separator/>
      </w:r>
    </w:p>
  </w:endnote>
  <w:endnote w:type="continuationSeparator" w:id="0">
    <w:p w14:paraId="2FC03A5C" w14:textId="77777777" w:rsidR="00C61403" w:rsidRDefault="00C61403" w:rsidP="00EC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E290" w14:textId="77777777" w:rsidR="00EC5AAD" w:rsidRPr="004755D4" w:rsidRDefault="00EC5AAD" w:rsidP="00EC5AAD">
    <w:pPr>
      <w:pStyle w:val="Pieddepage"/>
      <w:tabs>
        <w:tab w:val="clear" w:pos="4536"/>
        <w:tab w:val="clear" w:pos="9072"/>
      </w:tabs>
      <w:jc w:val="center"/>
      <w:rPr>
        <w:color w:val="767171" w:themeColor="background2" w:themeShade="80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7E68551" wp14:editId="0195382A">
          <wp:simplePos x="0" y="0"/>
          <wp:positionH relativeFrom="column">
            <wp:posOffset>648348</wp:posOffset>
          </wp:positionH>
          <wp:positionV relativeFrom="paragraph">
            <wp:posOffset>170350</wp:posOffset>
          </wp:positionV>
          <wp:extent cx="1598019" cy="825280"/>
          <wp:effectExtent l="0" t="0" r="2540" b="635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ridd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82"/>
                  <a:stretch/>
                </pic:blipFill>
                <pic:spPr bwMode="auto">
                  <a:xfrm>
                    <a:off x="0" y="0"/>
                    <a:ext cx="1598400" cy="825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52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4985E86" wp14:editId="746F2E84">
          <wp:simplePos x="0" y="0"/>
          <wp:positionH relativeFrom="column">
            <wp:posOffset>-690937</wp:posOffset>
          </wp:positionH>
          <wp:positionV relativeFrom="paragraph">
            <wp:posOffset>241878</wp:posOffset>
          </wp:positionV>
          <wp:extent cx="1339913" cy="601166"/>
          <wp:effectExtent l="0" t="0" r="0" b="0"/>
          <wp:wrapNone/>
          <wp:docPr id="32" name="Image 14">
            <a:extLst xmlns:a="http://schemas.openxmlformats.org/drawingml/2006/main">
              <a:ext uri="{FF2B5EF4-FFF2-40B4-BE49-F238E27FC236}">
                <a16:creationId xmlns:a16="http://schemas.microsoft.com/office/drawing/2014/main" id="{D26CFB20-BF37-D945-A7CC-25CA2D87C6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D26CFB20-BF37-D945-A7CC-25CA2D87C6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64" b="31239"/>
                  <a:stretch/>
                </pic:blipFill>
                <pic:spPr bwMode="auto">
                  <a:xfrm>
                    <a:off x="0" y="0"/>
                    <a:ext cx="1339913" cy="601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67171" w:themeColor="background2" w:themeShade="80"/>
      </w:rPr>
      <w:t xml:space="preserve">Animé par : </w:t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  <w:t xml:space="preserve">            Avec le soutien de : </w:t>
    </w:r>
  </w:p>
  <w:p w14:paraId="3E908262" w14:textId="77777777" w:rsidR="00EC5AAD" w:rsidRPr="00EC5AAD" w:rsidRDefault="00EC5AAD" w:rsidP="00EC5AAD">
    <w:pPr>
      <w:pStyle w:val="Pieddepage"/>
      <w:tabs>
        <w:tab w:val="left" w:pos="6144"/>
      </w:tabs>
    </w:pPr>
    <w:r>
      <w:tab/>
    </w:r>
    <w:r w:rsidRPr="00E2152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8588293" wp14:editId="26962EB9">
          <wp:simplePos x="0" y="0"/>
          <wp:positionH relativeFrom="column">
            <wp:posOffset>4550737</wp:posOffset>
          </wp:positionH>
          <wp:positionV relativeFrom="paragraph">
            <wp:posOffset>72101</wp:posOffset>
          </wp:positionV>
          <wp:extent cx="1663200" cy="756000"/>
          <wp:effectExtent l="0" t="0" r="635" b="6350"/>
          <wp:wrapNone/>
          <wp:docPr id="1026" name="Picture 2" descr="Agence de la transition écologique - ADEME">
            <a:extLst xmlns:a="http://schemas.openxmlformats.org/drawingml/2006/main">
              <a:ext uri="{FF2B5EF4-FFF2-40B4-BE49-F238E27FC236}">
                <a16:creationId xmlns:a16="http://schemas.microsoft.com/office/drawing/2014/main" id="{6F1D2ACC-CFA4-EE4F-87E2-33C79A7408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gence de la transition écologique - ADEME">
                    <a:extLst>
                      <a:ext uri="{FF2B5EF4-FFF2-40B4-BE49-F238E27FC236}">
                        <a16:creationId xmlns:a16="http://schemas.microsoft.com/office/drawing/2014/main" id="{6F1D2ACC-CFA4-EE4F-87E2-33C79A74084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5D4">
      <w:rPr>
        <w:noProof/>
        <w:lang w:eastAsia="fr-FR"/>
      </w:rPr>
      <w:drawing>
        <wp:inline distT="0" distB="0" distL="0" distR="0" wp14:anchorId="6A8B4991" wp14:editId="7C92421F">
          <wp:extent cx="1314450" cy="772239"/>
          <wp:effectExtent l="0" t="0" r="0" b="0"/>
          <wp:docPr id="35" name="Image 35" descr="C:\Users\Audrey\Cloud\Projets\Economie de fonctionnalité\CLUB CLEF et D2IN\Avant 2016\Communication\Logos\Logo CLEF\logo_CLEF_Bureautique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\Cloud\Projets\Economie de fonctionnalité\CLUB CLEF et D2IN\Avant 2016\Communication\Logos\Logo CLEF\logo_CLEF_Bureautique-transp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7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F10A" w14:textId="77777777" w:rsidR="00C61403" w:rsidRDefault="00C61403" w:rsidP="00EC5AAD">
      <w:pPr>
        <w:spacing w:after="0" w:line="240" w:lineRule="auto"/>
      </w:pPr>
      <w:r>
        <w:separator/>
      </w:r>
    </w:p>
  </w:footnote>
  <w:footnote w:type="continuationSeparator" w:id="0">
    <w:p w14:paraId="1289AE4F" w14:textId="77777777" w:rsidR="00C61403" w:rsidRDefault="00C61403" w:rsidP="00EC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C9CA" w14:textId="77777777" w:rsidR="00EC5AAD" w:rsidRDefault="00EC5AAD" w:rsidP="00EC5AAD">
    <w:pPr>
      <w:pStyle w:val="Titre"/>
      <w:ind w:left="708"/>
      <w:rPr>
        <w:rFonts w:asciiTheme="minorHAnsi" w:hAnsiTheme="minorHAnsi"/>
        <w:b/>
        <w:sz w:val="44"/>
        <w:szCs w:val="5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78F3CC1" wp14:editId="1D1A6021">
          <wp:simplePos x="0" y="0"/>
          <wp:positionH relativeFrom="margin">
            <wp:posOffset>-604156</wp:posOffset>
          </wp:positionH>
          <wp:positionV relativeFrom="paragraph">
            <wp:posOffset>59690</wp:posOffset>
          </wp:positionV>
          <wp:extent cx="734400" cy="838800"/>
          <wp:effectExtent l="0" t="0" r="254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FC_final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EB6">
      <w:rPr>
        <w:rFonts w:asciiTheme="minorHAnsi" w:hAnsiTheme="minorHAnsi"/>
        <w:b/>
        <w:sz w:val="44"/>
        <w:szCs w:val="52"/>
      </w:rPr>
      <w:t>ATELIER NATIONAL</w:t>
    </w:r>
    <w:r>
      <w:rPr>
        <w:rFonts w:asciiTheme="minorHAnsi" w:hAnsiTheme="minorHAnsi"/>
        <w:b/>
        <w:sz w:val="44"/>
        <w:szCs w:val="52"/>
      </w:rPr>
      <w:t xml:space="preserve"> </w:t>
    </w:r>
    <w:r w:rsidRPr="00E40EB6">
      <w:rPr>
        <w:rFonts w:asciiTheme="minorHAnsi" w:hAnsiTheme="minorHAnsi"/>
        <w:b/>
        <w:sz w:val="44"/>
        <w:szCs w:val="52"/>
      </w:rPr>
      <w:t xml:space="preserve">COMMANDE PUBLIQUE &amp; ECONOMIE DE LA FONCTIONNALITE </w:t>
    </w:r>
  </w:p>
  <w:p w14:paraId="1CD0323C" w14:textId="77777777" w:rsidR="00EC5AAD" w:rsidRPr="004C0E63" w:rsidRDefault="00EC5AAD" w:rsidP="00EC5AAD">
    <w:pPr>
      <w:pStyle w:val="Titre"/>
      <w:ind w:left="708"/>
      <w:rPr>
        <w:rFonts w:asciiTheme="minorHAnsi" w:hAnsiTheme="minorHAnsi"/>
        <w:b/>
        <w:sz w:val="44"/>
        <w:szCs w:val="52"/>
      </w:rPr>
    </w:pPr>
    <w:r w:rsidRPr="00E40EB6">
      <w:rPr>
        <w:rFonts w:asciiTheme="minorHAnsi" w:hAnsiTheme="minorHAnsi"/>
        <w:b/>
        <w:sz w:val="44"/>
        <w:szCs w:val="52"/>
      </w:rPr>
      <w:t>ET DE LA COOPERATION</w:t>
    </w:r>
  </w:p>
  <w:p w14:paraId="7A23F857" w14:textId="77777777" w:rsidR="00EC5AAD" w:rsidRDefault="00EC5A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27A"/>
    <w:multiLevelType w:val="hybridMultilevel"/>
    <w:tmpl w:val="41C22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34D"/>
    <w:multiLevelType w:val="hybridMultilevel"/>
    <w:tmpl w:val="2F8EA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1DDE"/>
    <w:multiLevelType w:val="hybridMultilevel"/>
    <w:tmpl w:val="ED22D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31A"/>
    <w:multiLevelType w:val="hybridMultilevel"/>
    <w:tmpl w:val="9184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0C82"/>
    <w:multiLevelType w:val="hybridMultilevel"/>
    <w:tmpl w:val="0E1A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2718"/>
    <w:multiLevelType w:val="hybridMultilevel"/>
    <w:tmpl w:val="9FCE3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3"/>
    <w:rsid w:val="00057AD7"/>
    <w:rsid w:val="0006336D"/>
    <w:rsid w:val="00153E18"/>
    <w:rsid w:val="00157D6E"/>
    <w:rsid w:val="00175325"/>
    <w:rsid w:val="001F4976"/>
    <w:rsid w:val="00454543"/>
    <w:rsid w:val="004E4E02"/>
    <w:rsid w:val="00545967"/>
    <w:rsid w:val="005D07D7"/>
    <w:rsid w:val="006676E2"/>
    <w:rsid w:val="00674895"/>
    <w:rsid w:val="006C3768"/>
    <w:rsid w:val="006C69D7"/>
    <w:rsid w:val="006D3C70"/>
    <w:rsid w:val="00744DB1"/>
    <w:rsid w:val="00784522"/>
    <w:rsid w:val="008B0402"/>
    <w:rsid w:val="009076F9"/>
    <w:rsid w:val="00911465"/>
    <w:rsid w:val="00917827"/>
    <w:rsid w:val="0092023F"/>
    <w:rsid w:val="00963EDA"/>
    <w:rsid w:val="009839EE"/>
    <w:rsid w:val="0098738E"/>
    <w:rsid w:val="00B63155"/>
    <w:rsid w:val="00B63D55"/>
    <w:rsid w:val="00B95724"/>
    <w:rsid w:val="00BC7D8D"/>
    <w:rsid w:val="00BD48A5"/>
    <w:rsid w:val="00C00E85"/>
    <w:rsid w:val="00C103D7"/>
    <w:rsid w:val="00C61403"/>
    <w:rsid w:val="00CC3D5C"/>
    <w:rsid w:val="00D345FA"/>
    <w:rsid w:val="00D51A84"/>
    <w:rsid w:val="00DF4281"/>
    <w:rsid w:val="00E1180F"/>
    <w:rsid w:val="00E32413"/>
    <w:rsid w:val="00E52F25"/>
    <w:rsid w:val="00E94F57"/>
    <w:rsid w:val="00EC5AAD"/>
    <w:rsid w:val="00F41D22"/>
    <w:rsid w:val="00F420C1"/>
    <w:rsid w:val="00FA3E53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2B80"/>
  <w15:chartTrackingRefBased/>
  <w15:docId w15:val="{71B1EA76-0375-4EE7-BF09-6095055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13"/>
  </w:style>
  <w:style w:type="paragraph" w:styleId="Titre1">
    <w:name w:val="heading 1"/>
    <w:basedOn w:val="Normal"/>
    <w:next w:val="Normal"/>
    <w:link w:val="Titre1Car"/>
    <w:uiPriority w:val="9"/>
    <w:qFormat/>
    <w:rsid w:val="00EC5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4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AAD"/>
  </w:style>
  <w:style w:type="paragraph" w:styleId="Pieddepage">
    <w:name w:val="footer"/>
    <w:basedOn w:val="Normal"/>
    <w:link w:val="PieddepageCar"/>
    <w:uiPriority w:val="99"/>
    <w:unhideWhenUsed/>
    <w:rsid w:val="00EC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AAD"/>
  </w:style>
  <w:style w:type="paragraph" w:styleId="Titre">
    <w:name w:val="Title"/>
    <w:basedOn w:val="Normal"/>
    <w:next w:val="Normal"/>
    <w:link w:val="TitreCar"/>
    <w:uiPriority w:val="10"/>
    <w:qFormat/>
    <w:rsid w:val="00EC5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5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C5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EC5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5AAD"/>
    <w:pPr>
      <w:spacing w:before="120" w:after="120" w:line="240" w:lineRule="auto"/>
      <w:contextualSpacing/>
      <w:jc w:val="both"/>
    </w:pPr>
    <w:rPr>
      <w:color w:val="1D1D1B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5AAD"/>
    <w:rPr>
      <w:color w:val="1D1D1B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AA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AAD"/>
    <w:pPr>
      <w:spacing w:before="0" w:after="160"/>
      <w:contextualSpacing w:val="0"/>
      <w:jc w:val="left"/>
    </w:pPr>
    <w:rPr>
      <w:b/>
      <w:bCs/>
      <w:color w:val="auto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AAD"/>
    <w:rPr>
      <w:b/>
      <w:bCs/>
      <w:color w:val="1D1D1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1723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invite</cp:lastModifiedBy>
  <cp:revision>28</cp:revision>
  <dcterms:created xsi:type="dcterms:W3CDTF">2021-12-30T09:39:00Z</dcterms:created>
  <dcterms:modified xsi:type="dcterms:W3CDTF">2022-01-05T16:54:00Z</dcterms:modified>
</cp:coreProperties>
</file>